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22" w:rsidRDefault="00DA6C22" w:rsidP="002F460D">
      <w:pPr>
        <w:pStyle w:val="Heading1"/>
        <w:spacing w:before="120"/>
        <w:jc w:val="both"/>
      </w:pPr>
      <w:r>
        <w:t xml:space="preserve">General Education Committee Minutes, </w:t>
      </w:r>
      <w:r w:rsidR="00FA067D">
        <w:t>3</w:t>
      </w:r>
      <w:r>
        <w:t>/</w:t>
      </w:r>
      <w:r w:rsidR="00C97EF0">
        <w:t>29</w:t>
      </w:r>
      <w:r>
        <w:t>/1</w:t>
      </w:r>
      <w:r w:rsidR="004E3634">
        <w:t>7</w:t>
      </w:r>
      <w:r>
        <w:t xml:space="preserve"> </w:t>
      </w:r>
    </w:p>
    <w:p w:rsidR="00DA6C22" w:rsidRDefault="00DA6C22" w:rsidP="002F460D">
      <w:pPr>
        <w:pStyle w:val="Heading2"/>
        <w:spacing w:after="240"/>
      </w:pPr>
      <w:r>
        <w:t>Call to Order / Roll Call</w:t>
      </w:r>
    </w:p>
    <w:p w:rsidR="002F460D" w:rsidRDefault="00DA6C22" w:rsidP="002F460D">
      <w:pPr>
        <w:spacing w:after="120"/>
        <w:ind w:left="1980" w:hanging="1980"/>
        <w:rPr>
          <w:rFonts w:cs="Calibri"/>
          <w:sz w:val="24"/>
          <w:szCs w:val="24"/>
        </w:rPr>
      </w:pPr>
      <w:r>
        <w:rPr>
          <w:rFonts w:cs="Calibri"/>
          <w:sz w:val="24"/>
          <w:szCs w:val="24"/>
        </w:rPr>
        <w:t xml:space="preserve">Members present: </w:t>
      </w:r>
      <w:r w:rsidR="002F460D">
        <w:rPr>
          <w:rFonts w:cs="Calibri"/>
          <w:sz w:val="24"/>
          <w:szCs w:val="24"/>
        </w:rPr>
        <w:t xml:space="preserve"> </w:t>
      </w:r>
      <w:r>
        <w:rPr>
          <w:rFonts w:cs="Calibri"/>
          <w:sz w:val="24"/>
          <w:szCs w:val="24"/>
        </w:rPr>
        <w:t xml:space="preserve">L. Ametsbichler, S. Bradford, </w:t>
      </w:r>
      <w:r w:rsidR="00FA067D">
        <w:rPr>
          <w:rFonts w:cs="Calibri"/>
          <w:sz w:val="24"/>
          <w:szCs w:val="24"/>
        </w:rPr>
        <w:t>B. Clough</w:t>
      </w:r>
      <w:r w:rsidR="00560E2B">
        <w:rPr>
          <w:rFonts w:cs="Calibri"/>
          <w:sz w:val="24"/>
          <w:szCs w:val="24"/>
        </w:rPr>
        <w:t>,</w:t>
      </w:r>
      <w:r w:rsidR="00FA067D">
        <w:rPr>
          <w:rFonts w:cs="Calibri"/>
          <w:sz w:val="24"/>
          <w:szCs w:val="24"/>
        </w:rPr>
        <w:t xml:space="preserve"> </w:t>
      </w:r>
      <w:r w:rsidR="00942773">
        <w:rPr>
          <w:rFonts w:cs="Calibri"/>
          <w:sz w:val="24"/>
          <w:szCs w:val="24"/>
        </w:rPr>
        <w:t xml:space="preserve">B. </w:t>
      </w:r>
      <w:proofErr w:type="spellStart"/>
      <w:r w:rsidR="00942773">
        <w:rPr>
          <w:rFonts w:cs="Calibri"/>
          <w:sz w:val="24"/>
          <w:szCs w:val="24"/>
        </w:rPr>
        <w:t>Durnell</w:t>
      </w:r>
      <w:proofErr w:type="spellEnd"/>
      <w:r w:rsidR="00942773">
        <w:rPr>
          <w:rFonts w:cs="Calibri"/>
          <w:sz w:val="24"/>
          <w:szCs w:val="24"/>
        </w:rPr>
        <w:t xml:space="preserve">, </w:t>
      </w:r>
      <w:r w:rsidR="00FA067D">
        <w:rPr>
          <w:rFonts w:cs="Calibri"/>
          <w:sz w:val="24"/>
          <w:szCs w:val="24"/>
        </w:rPr>
        <w:t xml:space="preserve">K. Graham, P. Muench, </w:t>
      </w:r>
      <w:r w:rsidR="002C4D87">
        <w:rPr>
          <w:rFonts w:cs="Calibri"/>
          <w:sz w:val="24"/>
          <w:szCs w:val="24"/>
        </w:rPr>
        <w:t>J. Randal</w:t>
      </w:r>
      <w:r w:rsidR="002F460D">
        <w:rPr>
          <w:rFonts w:cs="Calibri"/>
          <w:sz w:val="24"/>
          <w:szCs w:val="24"/>
        </w:rPr>
        <w:t>l</w:t>
      </w:r>
      <w:r w:rsidR="002C4D87">
        <w:rPr>
          <w:rFonts w:cs="Calibri"/>
          <w:sz w:val="24"/>
          <w:szCs w:val="24"/>
        </w:rPr>
        <w:t>,</w:t>
      </w:r>
      <w:r w:rsidR="000D563F" w:rsidRPr="000D563F">
        <w:rPr>
          <w:rFonts w:cs="Calibri"/>
          <w:sz w:val="24"/>
          <w:szCs w:val="24"/>
        </w:rPr>
        <w:t xml:space="preserve"> </w:t>
      </w:r>
      <w:r w:rsidR="002F460D">
        <w:rPr>
          <w:rFonts w:cs="Calibri"/>
          <w:sz w:val="24"/>
          <w:szCs w:val="24"/>
        </w:rPr>
        <w:t xml:space="preserve">G. Peters, </w:t>
      </w:r>
      <w:r w:rsidR="00FA067D">
        <w:rPr>
          <w:rFonts w:cs="Calibri"/>
          <w:sz w:val="24"/>
          <w:szCs w:val="24"/>
        </w:rPr>
        <w:t>T.</w:t>
      </w:r>
      <w:r w:rsidR="00560E2B">
        <w:rPr>
          <w:rFonts w:cs="Calibri"/>
          <w:sz w:val="24"/>
          <w:szCs w:val="24"/>
        </w:rPr>
        <w:t xml:space="preserve"> </w:t>
      </w:r>
      <w:r w:rsidR="00FA067D">
        <w:rPr>
          <w:rFonts w:cs="Calibri"/>
          <w:sz w:val="24"/>
          <w:szCs w:val="24"/>
        </w:rPr>
        <w:t>Wheeler,</w:t>
      </w:r>
      <w:r w:rsidR="00FA067D" w:rsidRPr="00FA067D">
        <w:rPr>
          <w:rFonts w:cs="Calibri"/>
          <w:sz w:val="24"/>
          <w:szCs w:val="24"/>
        </w:rPr>
        <w:t xml:space="preserve"> </w:t>
      </w:r>
      <w:proofErr w:type="gramStart"/>
      <w:r w:rsidR="00874456">
        <w:rPr>
          <w:rFonts w:cs="Calibri"/>
          <w:sz w:val="24"/>
          <w:szCs w:val="24"/>
        </w:rPr>
        <w:t>G</w:t>
      </w:r>
      <w:proofErr w:type="gramEnd"/>
      <w:r w:rsidR="00874456">
        <w:rPr>
          <w:rFonts w:cs="Calibri"/>
          <w:sz w:val="24"/>
          <w:szCs w:val="24"/>
        </w:rPr>
        <w:t>. Weix</w:t>
      </w:r>
    </w:p>
    <w:p w:rsidR="002F460D" w:rsidRDefault="002F460D" w:rsidP="002F460D">
      <w:pPr>
        <w:spacing w:after="120"/>
        <w:ind w:left="1980" w:hanging="1980"/>
        <w:rPr>
          <w:rFonts w:cs="Calibri"/>
          <w:sz w:val="24"/>
          <w:szCs w:val="24"/>
        </w:rPr>
      </w:pPr>
      <w:r>
        <w:rPr>
          <w:rFonts w:cs="Calibri"/>
          <w:sz w:val="24"/>
          <w:szCs w:val="24"/>
        </w:rPr>
        <w:t>Ex-officio members present: B. French,</w:t>
      </w:r>
      <w:r w:rsidRPr="00056136">
        <w:rPr>
          <w:rFonts w:cs="Calibri"/>
          <w:sz w:val="24"/>
          <w:szCs w:val="24"/>
        </w:rPr>
        <w:t xml:space="preserve"> </w:t>
      </w:r>
      <w:r w:rsidR="00874456">
        <w:rPr>
          <w:rFonts w:cs="Calibri"/>
          <w:sz w:val="24"/>
          <w:szCs w:val="24"/>
        </w:rPr>
        <w:t>J. Hickman, N. Lindsay</w:t>
      </w:r>
    </w:p>
    <w:p w:rsidR="002F460D" w:rsidRDefault="002F460D" w:rsidP="002F460D">
      <w:pPr>
        <w:spacing w:after="120"/>
        <w:ind w:left="1980" w:hanging="1980"/>
        <w:rPr>
          <w:rFonts w:cs="Calibri"/>
          <w:sz w:val="24"/>
          <w:szCs w:val="24"/>
        </w:rPr>
      </w:pPr>
      <w:r>
        <w:rPr>
          <w:rFonts w:cs="Calibri"/>
          <w:sz w:val="24"/>
          <w:szCs w:val="24"/>
        </w:rPr>
        <w:t>Members Absent/</w:t>
      </w:r>
      <w:r w:rsidR="00DA6C22">
        <w:rPr>
          <w:rFonts w:cs="Calibri"/>
          <w:sz w:val="24"/>
          <w:szCs w:val="24"/>
        </w:rPr>
        <w:t>Excused:</w:t>
      </w:r>
      <w:r w:rsidR="00EA1BF1" w:rsidRPr="00EA1BF1">
        <w:rPr>
          <w:rFonts w:cs="Calibri"/>
          <w:sz w:val="24"/>
          <w:szCs w:val="24"/>
        </w:rPr>
        <w:t xml:space="preserve"> </w:t>
      </w:r>
      <w:r w:rsidR="00056136">
        <w:rPr>
          <w:rFonts w:cs="Calibri"/>
          <w:sz w:val="24"/>
          <w:szCs w:val="24"/>
        </w:rPr>
        <w:t>C. Gree</w:t>
      </w:r>
      <w:r w:rsidR="00FA067D">
        <w:rPr>
          <w:rFonts w:cs="Calibri"/>
          <w:sz w:val="24"/>
          <w:szCs w:val="24"/>
        </w:rPr>
        <w:t>nfield, T. Ravas</w:t>
      </w:r>
      <w:r w:rsidR="00A141DC">
        <w:rPr>
          <w:rFonts w:cs="Calibri"/>
          <w:sz w:val="24"/>
          <w:szCs w:val="24"/>
        </w:rPr>
        <w:t>,</w:t>
      </w:r>
      <w:r w:rsidR="00FA067D">
        <w:rPr>
          <w:rFonts w:cs="Calibri"/>
          <w:sz w:val="24"/>
          <w:szCs w:val="24"/>
        </w:rPr>
        <w:t xml:space="preserve"> </w:t>
      </w:r>
      <w:r w:rsidR="00874456">
        <w:rPr>
          <w:rFonts w:cs="Calibri"/>
          <w:sz w:val="24"/>
          <w:szCs w:val="24"/>
        </w:rPr>
        <w:t>L. Yung</w:t>
      </w:r>
    </w:p>
    <w:p w:rsidR="002F460D" w:rsidRDefault="002F460D" w:rsidP="003F0FA3"/>
    <w:p w:rsidR="00056136" w:rsidRDefault="00DA6C22" w:rsidP="003F0FA3">
      <w:r>
        <w:t>The</w:t>
      </w:r>
      <w:r w:rsidR="00FA067D">
        <w:t xml:space="preserve"> minutes from</w:t>
      </w:r>
      <w:r w:rsidR="00874456">
        <w:t xml:space="preserve"> 3/8/17</w:t>
      </w:r>
      <w:r w:rsidR="00FA067D">
        <w:t xml:space="preserve"> were approved.</w:t>
      </w:r>
    </w:p>
    <w:p w:rsidR="009C3496" w:rsidRDefault="00DA6C22" w:rsidP="009C3496">
      <w:pPr>
        <w:pStyle w:val="Heading2"/>
      </w:pPr>
      <w:r w:rsidRPr="00D20BE1">
        <w:t>Communication</w:t>
      </w:r>
    </w:p>
    <w:p w:rsidR="00560E2B" w:rsidRDefault="00650AE2" w:rsidP="00560E2B">
      <w:pPr>
        <w:pStyle w:val="ListParagraph"/>
        <w:numPr>
          <w:ilvl w:val="0"/>
          <w:numId w:val="27"/>
        </w:numPr>
      </w:pPr>
      <w:r>
        <w:t xml:space="preserve">ASCRC considered the Pharm D issue and agreed that the professional program is not required to complete UM’s general education program.  Its accrediting agency requires general </w:t>
      </w:r>
      <w:proofErr w:type="gramStart"/>
      <w:r>
        <w:t>education  learning</w:t>
      </w:r>
      <w:proofErr w:type="gramEnd"/>
      <w:r>
        <w:t xml:space="preserve"> outcomes be embedded into the curriculum. </w:t>
      </w:r>
    </w:p>
    <w:p w:rsidR="00560E2B" w:rsidRDefault="00650AE2" w:rsidP="00560E2B">
      <w:pPr>
        <w:pStyle w:val="ListParagraph"/>
        <w:numPr>
          <w:ilvl w:val="0"/>
          <w:numId w:val="27"/>
        </w:numPr>
      </w:pPr>
      <w:r>
        <w:t xml:space="preserve">Late forms were received to transition Spanish to 4 credits.  </w:t>
      </w:r>
    </w:p>
    <w:p w:rsidR="00056136" w:rsidRPr="00056136" w:rsidRDefault="00560E2B" w:rsidP="00056136">
      <w:pPr>
        <w:pStyle w:val="ListParagraph"/>
        <w:numPr>
          <w:ilvl w:val="0"/>
          <w:numId w:val="27"/>
        </w:numPr>
      </w:pPr>
      <w:r>
        <w:t>Associate Provost Lindsay asked when to schedule a meeting with the Accreditation Team visitors coming on May 1st</w:t>
      </w:r>
      <w:r w:rsidR="00250B7A">
        <w:t>.</w:t>
      </w:r>
      <w:r>
        <w:t xml:space="preserve"> Early afternoon sounds promising.</w:t>
      </w:r>
      <w:r w:rsidR="00250B7A">
        <w:t xml:space="preserve"> </w:t>
      </w:r>
    </w:p>
    <w:p w:rsidR="005C059A" w:rsidRDefault="006E083D" w:rsidP="00CD5D5C">
      <w:pPr>
        <w:pStyle w:val="Heading2"/>
      </w:pPr>
      <w:r>
        <w:t>Business Items</w:t>
      </w:r>
      <w:r w:rsidR="00CD5D5C">
        <w:br/>
      </w:r>
    </w:p>
    <w:p w:rsidR="00650AE2" w:rsidRDefault="002F460D" w:rsidP="00650AE2">
      <w:pPr>
        <w:pStyle w:val="ListParagraph"/>
        <w:numPr>
          <w:ilvl w:val="0"/>
          <w:numId w:val="27"/>
        </w:numPr>
      </w:pPr>
      <w:r w:rsidRPr="007E7670">
        <w:rPr>
          <w:u w:val="single"/>
        </w:rPr>
        <w:t>Course Review</w:t>
      </w:r>
      <w:r>
        <w:t xml:space="preserve">.  </w:t>
      </w:r>
      <w:r w:rsidR="00650AE2">
        <w:t xml:space="preserve"> The Committee approved the Spanish Courses to be forwarded to ASCRC for consideration.   Follow-up is still pending for the ANTY 326 and HSTR 272 appeal.  Additional information regarding BIOH 108 will be submitted soon.   The following courses were approved. </w:t>
      </w:r>
    </w:p>
    <w:tbl>
      <w:tblPr>
        <w:tblW w:w="78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510"/>
        <w:gridCol w:w="3090"/>
      </w:tblGrid>
      <w:tr w:rsidR="007E7670" w:rsidRPr="00AB704C" w:rsidTr="007E7670">
        <w:trPr>
          <w:trHeight w:val="290"/>
        </w:trPr>
        <w:tc>
          <w:tcPr>
            <w:tcW w:w="1260" w:type="dxa"/>
            <w:shd w:val="clear" w:color="auto" w:fill="auto"/>
            <w:noWrap/>
            <w:vAlign w:val="bottom"/>
          </w:tcPr>
          <w:p w:rsidR="007E7670" w:rsidRPr="00AB704C" w:rsidRDefault="007E7670" w:rsidP="00CF489C">
            <w:pPr>
              <w:rPr>
                <w:rFonts w:cs="Calibri"/>
                <w:color w:val="000000"/>
                <w:sz w:val="20"/>
                <w:szCs w:val="20"/>
              </w:rPr>
            </w:pPr>
            <w:r>
              <w:rPr>
                <w:rFonts w:cs="Calibri"/>
                <w:color w:val="000000"/>
                <w:sz w:val="20"/>
                <w:szCs w:val="20"/>
              </w:rPr>
              <w:t>Course number</w:t>
            </w:r>
          </w:p>
        </w:tc>
        <w:tc>
          <w:tcPr>
            <w:tcW w:w="3510" w:type="dxa"/>
            <w:shd w:val="clear" w:color="auto" w:fill="auto"/>
            <w:noWrap/>
            <w:vAlign w:val="bottom"/>
          </w:tcPr>
          <w:p w:rsidR="007E7670" w:rsidRPr="00AB704C" w:rsidRDefault="007E7670" w:rsidP="00CF489C">
            <w:pPr>
              <w:rPr>
                <w:rFonts w:cs="Calibri"/>
                <w:color w:val="000000"/>
                <w:sz w:val="20"/>
                <w:szCs w:val="20"/>
              </w:rPr>
            </w:pPr>
            <w:r>
              <w:rPr>
                <w:rFonts w:cs="Calibri"/>
                <w:color w:val="000000"/>
                <w:sz w:val="20"/>
                <w:szCs w:val="20"/>
              </w:rPr>
              <w:t>Title</w:t>
            </w:r>
          </w:p>
        </w:tc>
        <w:tc>
          <w:tcPr>
            <w:tcW w:w="3090" w:type="dxa"/>
          </w:tcPr>
          <w:p w:rsidR="007E7670" w:rsidRDefault="007E7670" w:rsidP="00CF489C">
            <w:pPr>
              <w:rPr>
                <w:rFonts w:cs="Calibri"/>
                <w:color w:val="000000"/>
                <w:sz w:val="20"/>
                <w:szCs w:val="20"/>
              </w:rPr>
            </w:pPr>
            <w:r>
              <w:rPr>
                <w:rFonts w:cs="Calibri"/>
                <w:color w:val="000000"/>
                <w:sz w:val="20"/>
                <w:szCs w:val="20"/>
              </w:rPr>
              <w:t>General Education Group</w:t>
            </w:r>
          </w:p>
        </w:tc>
      </w:tr>
      <w:tr w:rsidR="00650AE2" w:rsidRPr="00AB704C" w:rsidTr="007E7670">
        <w:trPr>
          <w:trHeight w:val="290"/>
        </w:trPr>
        <w:tc>
          <w:tcPr>
            <w:tcW w:w="1260" w:type="dxa"/>
            <w:shd w:val="clear" w:color="auto" w:fill="auto"/>
            <w:noWrap/>
            <w:vAlign w:val="bottom"/>
            <w:hideMark/>
          </w:tcPr>
          <w:p w:rsidR="00650AE2" w:rsidRPr="00AB704C" w:rsidRDefault="00650AE2" w:rsidP="00CF489C">
            <w:pPr>
              <w:rPr>
                <w:rFonts w:cs="Calibri"/>
                <w:color w:val="000000"/>
                <w:sz w:val="20"/>
                <w:szCs w:val="20"/>
              </w:rPr>
            </w:pPr>
            <w:r w:rsidRPr="00AB704C">
              <w:rPr>
                <w:rFonts w:cs="Calibri"/>
                <w:color w:val="000000"/>
                <w:sz w:val="20"/>
                <w:szCs w:val="20"/>
              </w:rPr>
              <w:t>PHSX 102</w:t>
            </w:r>
          </w:p>
        </w:tc>
        <w:tc>
          <w:tcPr>
            <w:tcW w:w="3510" w:type="dxa"/>
            <w:shd w:val="clear" w:color="auto" w:fill="auto"/>
            <w:noWrap/>
            <w:vAlign w:val="bottom"/>
            <w:hideMark/>
          </w:tcPr>
          <w:p w:rsidR="00650AE2" w:rsidRPr="00AB704C" w:rsidRDefault="00650AE2" w:rsidP="00CF489C">
            <w:pPr>
              <w:rPr>
                <w:rFonts w:cs="Calibri"/>
                <w:color w:val="000000"/>
                <w:sz w:val="20"/>
                <w:szCs w:val="20"/>
              </w:rPr>
            </w:pPr>
            <w:r w:rsidRPr="00AB704C">
              <w:rPr>
                <w:rFonts w:cs="Calibri"/>
                <w:color w:val="000000"/>
                <w:sz w:val="20"/>
                <w:szCs w:val="20"/>
              </w:rPr>
              <w:t>Physics in Movies</w:t>
            </w:r>
          </w:p>
        </w:tc>
        <w:tc>
          <w:tcPr>
            <w:tcW w:w="3090" w:type="dxa"/>
          </w:tcPr>
          <w:p w:rsidR="00650AE2" w:rsidRPr="00AB704C" w:rsidRDefault="00650AE2" w:rsidP="00CF489C">
            <w:pPr>
              <w:rPr>
                <w:rFonts w:cs="Calibri"/>
                <w:color w:val="000000"/>
                <w:sz w:val="20"/>
                <w:szCs w:val="20"/>
              </w:rPr>
            </w:pPr>
            <w:r>
              <w:rPr>
                <w:rFonts w:cs="Calibri"/>
                <w:color w:val="000000"/>
                <w:sz w:val="20"/>
                <w:szCs w:val="20"/>
              </w:rPr>
              <w:t>Science</w:t>
            </w:r>
          </w:p>
        </w:tc>
      </w:tr>
      <w:tr w:rsidR="00650AE2" w:rsidRPr="00AB704C" w:rsidTr="007E7670">
        <w:trPr>
          <w:trHeight w:val="290"/>
        </w:trPr>
        <w:tc>
          <w:tcPr>
            <w:tcW w:w="1260" w:type="dxa"/>
            <w:shd w:val="clear" w:color="auto" w:fill="auto"/>
            <w:noWrap/>
            <w:vAlign w:val="bottom"/>
          </w:tcPr>
          <w:p w:rsidR="00650AE2" w:rsidRPr="00AB704C" w:rsidRDefault="00650AE2" w:rsidP="00CF489C">
            <w:pPr>
              <w:rPr>
                <w:rFonts w:cs="Calibri"/>
                <w:color w:val="000000"/>
                <w:sz w:val="20"/>
                <w:szCs w:val="20"/>
              </w:rPr>
            </w:pPr>
            <w:r>
              <w:rPr>
                <w:rFonts w:cs="Calibri"/>
                <w:color w:val="000000"/>
                <w:sz w:val="20"/>
                <w:szCs w:val="20"/>
              </w:rPr>
              <w:t>ANTY 220</w:t>
            </w:r>
          </w:p>
        </w:tc>
        <w:tc>
          <w:tcPr>
            <w:tcW w:w="3510" w:type="dxa"/>
            <w:shd w:val="clear" w:color="auto" w:fill="auto"/>
            <w:noWrap/>
            <w:vAlign w:val="bottom"/>
          </w:tcPr>
          <w:p w:rsidR="00650AE2" w:rsidRPr="00AB704C" w:rsidRDefault="00650AE2" w:rsidP="00CF489C">
            <w:pPr>
              <w:rPr>
                <w:rFonts w:cs="Calibri"/>
                <w:color w:val="000000"/>
                <w:sz w:val="20"/>
                <w:szCs w:val="20"/>
              </w:rPr>
            </w:pPr>
            <w:r>
              <w:rPr>
                <w:rFonts w:cs="Calibri"/>
                <w:color w:val="000000"/>
                <w:sz w:val="20"/>
                <w:szCs w:val="20"/>
              </w:rPr>
              <w:t>Culture &amp; Society</w:t>
            </w:r>
          </w:p>
        </w:tc>
        <w:tc>
          <w:tcPr>
            <w:tcW w:w="3090" w:type="dxa"/>
          </w:tcPr>
          <w:p w:rsidR="00650AE2" w:rsidRDefault="00650AE2" w:rsidP="00CF489C">
            <w:pPr>
              <w:rPr>
                <w:rFonts w:cs="Calibri"/>
                <w:color w:val="000000"/>
                <w:sz w:val="20"/>
                <w:szCs w:val="20"/>
              </w:rPr>
            </w:pPr>
            <w:r>
              <w:rPr>
                <w:rFonts w:cs="Calibri"/>
                <w:color w:val="000000"/>
                <w:sz w:val="20"/>
                <w:szCs w:val="20"/>
              </w:rPr>
              <w:t>Social Science</w:t>
            </w:r>
          </w:p>
        </w:tc>
      </w:tr>
      <w:tr w:rsidR="00650AE2" w:rsidTr="007E7670">
        <w:trPr>
          <w:trHeight w:val="290"/>
        </w:trPr>
        <w:tc>
          <w:tcPr>
            <w:tcW w:w="1260" w:type="dxa"/>
            <w:shd w:val="clear" w:color="auto" w:fill="auto"/>
            <w:noWrap/>
            <w:vAlign w:val="bottom"/>
          </w:tcPr>
          <w:p w:rsidR="00650AE2" w:rsidRDefault="00650AE2" w:rsidP="00CF489C">
            <w:pPr>
              <w:rPr>
                <w:rFonts w:cs="Calibri"/>
                <w:color w:val="000000"/>
                <w:sz w:val="20"/>
                <w:szCs w:val="20"/>
              </w:rPr>
            </w:pPr>
            <w:r>
              <w:rPr>
                <w:rFonts w:cs="Calibri"/>
                <w:color w:val="000000"/>
                <w:sz w:val="20"/>
                <w:szCs w:val="20"/>
              </w:rPr>
              <w:t>LSH 328</w:t>
            </w:r>
          </w:p>
        </w:tc>
        <w:tc>
          <w:tcPr>
            <w:tcW w:w="3510" w:type="dxa"/>
            <w:shd w:val="clear" w:color="auto" w:fill="auto"/>
            <w:noWrap/>
            <w:vAlign w:val="bottom"/>
          </w:tcPr>
          <w:p w:rsidR="00650AE2" w:rsidRDefault="00650AE2" w:rsidP="00CF489C">
            <w:pPr>
              <w:rPr>
                <w:rFonts w:cs="Calibri"/>
                <w:color w:val="000000"/>
                <w:sz w:val="20"/>
                <w:szCs w:val="20"/>
              </w:rPr>
            </w:pPr>
            <w:r>
              <w:rPr>
                <w:rFonts w:cs="Calibri"/>
                <w:color w:val="000000"/>
                <w:sz w:val="20"/>
                <w:szCs w:val="20"/>
              </w:rPr>
              <w:t>Gender and Sexuality in Indian Cinema</w:t>
            </w:r>
          </w:p>
        </w:tc>
        <w:tc>
          <w:tcPr>
            <w:tcW w:w="3090" w:type="dxa"/>
          </w:tcPr>
          <w:p w:rsidR="00650AE2" w:rsidRDefault="00650AE2" w:rsidP="00CF489C">
            <w:pPr>
              <w:rPr>
                <w:rFonts w:cs="Calibri"/>
                <w:color w:val="000000"/>
                <w:sz w:val="20"/>
                <w:szCs w:val="20"/>
              </w:rPr>
            </w:pPr>
            <w:r>
              <w:rPr>
                <w:rFonts w:cs="Calibri"/>
                <w:color w:val="000000"/>
                <w:sz w:val="20"/>
                <w:szCs w:val="20"/>
              </w:rPr>
              <w:t>Literary and Artistic Studies</w:t>
            </w:r>
          </w:p>
        </w:tc>
      </w:tr>
    </w:tbl>
    <w:p w:rsidR="00650AE2" w:rsidRDefault="00650AE2" w:rsidP="00650AE2"/>
    <w:p w:rsidR="007E7670" w:rsidRDefault="007E7670" w:rsidP="007E7670">
      <w:pPr>
        <w:pStyle w:val="ListParagraph"/>
        <w:numPr>
          <w:ilvl w:val="0"/>
          <w:numId w:val="27"/>
        </w:numPr>
      </w:pPr>
      <w:r>
        <w:t xml:space="preserve">Subcommittee Chairs should take a look at the final rolling review report to ensure it is accurate.  Professional Muench had several updates for the Ethics review.  Expressive Arts was completed last fall.  Chair Bradford will take a closer look at Social Science. </w:t>
      </w:r>
      <w:r>
        <w:br/>
      </w:r>
    </w:p>
    <w:p w:rsidR="00B6196C" w:rsidRDefault="007E7670" w:rsidP="007E7670">
      <w:pPr>
        <w:pStyle w:val="ListParagraph"/>
        <w:numPr>
          <w:ilvl w:val="0"/>
          <w:numId w:val="27"/>
        </w:numPr>
      </w:pPr>
      <w:r>
        <w:lastRenderedPageBreak/>
        <w:t xml:space="preserve">The Committee approved revised language to clarify the Modern and Classical Language requirement. </w:t>
      </w:r>
      <w:r w:rsidR="00B6196C">
        <w:t xml:space="preserve"> The language is appended. </w:t>
      </w:r>
      <w:r w:rsidR="00B6196C">
        <w:br/>
      </w:r>
    </w:p>
    <w:p w:rsidR="00566C5E" w:rsidRDefault="00B6196C" w:rsidP="007E7670">
      <w:pPr>
        <w:pStyle w:val="ListParagraph"/>
        <w:numPr>
          <w:ilvl w:val="0"/>
          <w:numId w:val="27"/>
        </w:numPr>
      </w:pPr>
      <w:r>
        <w:t>After discussion</w:t>
      </w:r>
      <w:r w:rsidR="00560E2B">
        <w:t>,</w:t>
      </w:r>
      <w:r>
        <w:t xml:space="preserve"> the proposal to eliminate symbolic systems was approved to move on to ASCRC with the addition of an exception from language courses for Missoula College</w:t>
      </w:r>
      <w:r w:rsidR="00A17342">
        <w:t xml:space="preserve">.  </w:t>
      </w:r>
      <w:r w:rsidR="00566C5E">
        <w:t xml:space="preserve">The change needed to catalog language was also considered. </w:t>
      </w:r>
      <w:r w:rsidR="00A17342">
        <w:t xml:space="preserve">Registrar Hickman clarified that the catalog will look completely different next fall due to the implementation of </w:t>
      </w:r>
      <w:proofErr w:type="spellStart"/>
      <w:r w:rsidR="00A17342" w:rsidRPr="00560E2B">
        <w:rPr>
          <w:i/>
        </w:rPr>
        <w:t>CoursLeaf</w:t>
      </w:r>
      <w:proofErr w:type="spellEnd"/>
      <w:r w:rsidR="00A17342">
        <w:t>.  This will mak</w:t>
      </w:r>
      <w:r w:rsidR="00566C5E">
        <w:t xml:space="preserve">e degree works obsolete as well. </w:t>
      </w:r>
      <w:r w:rsidR="00A17342">
        <w:t xml:space="preserve"> </w:t>
      </w:r>
    </w:p>
    <w:p w:rsidR="00566C5E" w:rsidRDefault="00566C5E" w:rsidP="00566C5E">
      <w:pPr>
        <w:pStyle w:val="ListParagraph"/>
      </w:pPr>
    </w:p>
    <w:p w:rsidR="00566C5E" w:rsidRDefault="00566C5E" w:rsidP="00560E2B">
      <w:pPr>
        <w:pStyle w:val="ListParagraph"/>
        <w:numPr>
          <w:ilvl w:val="0"/>
          <w:numId w:val="27"/>
        </w:numPr>
      </w:pPr>
      <w:bookmarkStart w:id="0" w:name="_GoBack"/>
      <w:bookmarkEnd w:id="0"/>
      <w:r>
        <w:t>Associate Provost Lindsay indicated that there is discussion about consistency at the system level regarding the issue of whether or not students from two-year colleges associated with four-year colleges within the system should be considered transfer stud</w:t>
      </w:r>
      <w:r w:rsidR="00560E2B">
        <w:t xml:space="preserve">ents.  OCHE is expected to be </w:t>
      </w:r>
      <w:r>
        <w:t>providing some guidance on the issue</w:t>
      </w:r>
      <w:r w:rsidR="00560E2B">
        <w:t xml:space="preserve"> in the near future</w:t>
      </w:r>
      <w:r>
        <w:t xml:space="preserve">.  </w:t>
      </w:r>
    </w:p>
    <w:p w:rsidR="00566C5E" w:rsidRDefault="00566C5E" w:rsidP="00566C5E">
      <w:pPr>
        <w:pStyle w:val="ListParagraph"/>
      </w:pPr>
    </w:p>
    <w:p w:rsidR="00D74BD6" w:rsidRDefault="00566C5E" w:rsidP="00566C5E">
      <w:pPr>
        <w:pStyle w:val="ListParagraph"/>
        <w:numPr>
          <w:ilvl w:val="0"/>
          <w:numId w:val="27"/>
        </w:numPr>
      </w:pPr>
      <w:r>
        <w:t>Chair Bradford would like feedback on the revised assessment proposal.   A listening session is scheduled on April 7</w:t>
      </w:r>
      <w:r w:rsidRPr="00566C5E">
        <w:rPr>
          <w:vertAlign w:val="superscript"/>
        </w:rPr>
        <w:t>th</w:t>
      </w:r>
      <w:r>
        <w:t xml:space="preserve"> from 1:00-3:00 in DHC </w:t>
      </w:r>
      <w:r w:rsidR="00560E2B">
        <w:t>119.   She is available Friday (3/31)</w:t>
      </w:r>
      <w:r w:rsidR="00D74BD6">
        <w:t xml:space="preserve"> to discuss planning the event and will send an email to follow-up on a specific meeting time. </w:t>
      </w:r>
      <w:r w:rsidR="00D74BD6">
        <w:br/>
      </w:r>
    </w:p>
    <w:p w:rsidR="00056136" w:rsidRPr="009C3496" w:rsidRDefault="00D74BD6" w:rsidP="00056136">
      <w:pPr>
        <w:pStyle w:val="ListParagraph"/>
        <w:numPr>
          <w:ilvl w:val="0"/>
          <w:numId w:val="27"/>
        </w:numPr>
      </w:pPr>
      <w:r>
        <w:t xml:space="preserve">Professor Randall was nominated and approved as next year’s Chair.  </w:t>
      </w:r>
      <w:r w:rsidR="00566C5E">
        <w:t xml:space="preserve"> </w:t>
      </w:r>
      <w:r w:rsidR="00566C5E">
        <w:br/>
      </w:r>
      <w:r w:rsidR="00566C5E">
        <w:br/>
      </w:r>
    </w:p>
    <w:p w:rsidR="00566C5E" w:rsidRDefault="00566C5E" w:rsidP="0001544C">
      <w:pPr>
        <w:pStyle w:val="Heading2"/>
      </w:pPr>
      <w:r>
        <w:t>Good and Welfare</w:t>
      </w:r>
    </w:p>
    <w:p w:rsidR="00566C5E" w:rsidRDefault="00566C5E" w:rsidP="00566C5E">
      <w:pPr>
        <w:pStyle w:val="ListParagraph"/>
        <w:numPr>
          <w:ilvl w:val="0"/>
          <w:numId w:val="27"/>
        </w:numPr>
      </w:pPr>
      <w:r>
        <w:t>Professor Weix will be scanning an article about General Education to send to members</w:t>
      </w:r>
      <w:r w:rsidR="00D74BD6">
        <w:t xml:space="preserve">. </w:t>
      </w:r>
    </w:p>
    <w:p w:rsidR="00566C5E" w:rsidRPr="00566C5E" w:rsidRDefault="00566C5E" w:rsidP="00566C5E"/>
    <w:p w:rsidR="00DA1B1B" w:rsidRDefault="00DA1B1B" w:rsidP="0001544C">
      <w:pPr>
        <w:pStyle w:val="Heading2"/>
      </w:pPr>
      <w:r>
        <w:t>Adjournment</w:t>
      </w:r>
    </w:p>
    <w:p w:rsidR="00F17942" w:rsidRDefault="006E083D" w:rsidP="0064126D">
      <w:r>
        <w:t xml:space="preserve">The meeting was adjourned at </w:t>
      </w:r>
      <w:r w:rsidR="00F17942">
        <w:t>5:</w:t>
      </w:r>
      <w:r w:rsidR="004D5AD9">
        <w:t>3</w:t>
      </w:r>
      <w:r w:rsidR="00056136">
        <w:t>0</w:t>
      </w:r>
      <w:r>
        <w:t xml:space="preserve"> p.m.</w:t>
      </w:r>
    </w:p>
    <w:p w:rsidR="007E7670" w:rsidRDefault="007E7670" w:rsidP="0064126D"/>
    <w:p w:rsidR="007E7670" w:rsidRDefault="007E7670" w:rsidP="0064126D"/>
    <w:p w:rsidR="007E7670" w:rsidRDefault="007E7670" w:rsidP="007E7670">
      <w:pPr>
        <w:spacing w:before="100" w:beforeAutospacing="1" w:after="100" w:afterAutospacing="1" w:line="240" w:lineRule="auto"/>
        <w:outlineLvl w:val="2"/>
        <w:rPr>
          <w:rFonts w:ascii="Times New Roman" w:eastAsia="Times New Roman" w:hAnsi="Times New Roman" w:cs="Times New Roman"/>
          <w:b/>
          <w:bCs/>
          <w:sz w:val="27"/>
          <w:szCs w:val="27"/>
        </w:rPr>
      </w:pPr>
      <w:r w:rsidRPr="009044AE">
        <w:rPr>
          <w:rFonts w:ascii="Times New Roman" w:eastAsia="Times New Roman" w:hAnsi="Times New Roman" w:cs="Times New Roman"/>
          <w:b/>
          <w:bCs/>
          <w:sz w:val="27"/>
          <w:szCs w:val="27"/>
        </w:rPr>
        <w:t>Group III: Modern and Classical Language</w:t>
      </w:r>
    </w:p>
    <w:p w:rsidR="007E7670" w:rsidRPr="00B81F94" w:rsidRDefault="007E7670" w:rsidP="007E7670">
      <w:pPr>
        <w:spacing w:before="100" w:beforeAutospacing="1" w:after="100" w:afterAutospacing="1" w:line="240" w:lineRule="auto"/>
        <w:outlineLvl w:val="2"/>
        <w:rPr>
          <w:rFonts w:ascii="Times New Roman" w:eastAsia="Times New Roman" w:hAnsi="Times New Roman" w:cs="Times New Roman"/>
          <w:b/>
          <w:bCs/>
          <w:color w:val="0070C0"/>
          <w:sz w:val="27"/>
          <w:szCs w:val="27"/>
          <w:u w:val="single"/>
        </w:rPr>
      </w:pPr>
      <w:r w:rsidRPr="00B81F94">
        <w:rPr>
          <w:color w:val="0070C0"/>
          <w:u w:val="single"/>
        </w:rPr>
        <w:t>The study of foreign language is a core component of a liberal arts education.  Students must complete the first-year sequence of a language or demonstrate comparable proficiency to fulfill the General Education language requirement (test-out provisions apply).</w:t>
      </w:r>
    </w:p>
    <w:p w:rsidR="007E7670" w:rsidRPr="009044AE" w:rsidRDefault="007E7670" w:rsidP="007E7670">
      <w:pPr>
        <w:spacing w:before="100" w:beforeAutospacing="1" w:after="100" w:afterAutospacing="1" w:line="240" w:lineRule="auto"/>
        <w:rPr>
          <w:rFonts w:ascii="Times New Roman" w:eastAsia="Times New Roman" w:hAnsi="Times New Roman" w:cs="Times New Roman"/>
          <w:sz w:val="24"/>
          <w:szCs w:val="24"/>
        </w:rPr>
      </w:pPr>
      <w:r w:rsidRPr="009044AE">
        <w:rPr>
          <w:rFonts w:ascii="Times New Roman" w:eastAsia="Times New Roman" w:hAnsi="Times New Roman" w:cs="Times New Roman"/>
          <w:sz w:val="24"/>
          <w:szCs w:val="24"/>
        </w:rPr>
        <w:t>The language requirement can be met in any of the following ways:</w:t>
      </w:r>
    </w:p>
    <w:p w:rsidR="007E7670" w:rsidRPr="009044AE" w:rsidRDefault="007E7670" w:rsidP="007E767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9044AE">
        <w:rPr>
          <w:rFonts w:ascii="Times New Roman" w:eastAsia="Times New Roman" w:hAnsi="Times New Roman" w:cs="Times New Roman"/>
          <w:sz w:val="24"/>
          <w:szCs w:val="24"/>
        </w:rPr>
        <w:t>by achieving a C- or better in a second-semester language course offered at the University of Montana (see list of courses below);</w:t>
      </w:r>
      <w:r w:rsidRPr="009044AE">
        <w:rPr>
          <w:rFonts w:ascii="Times New Roman" w:eastAsia="Times New Roman" w:hAnsi="Times New Roman" w:cs="Times New Roman"/>
          <w:strike/>
          <w:color w:val="C00000"/>
          <w:sz w:val="24"/>
          <w:szCs w:val="24"/>
        </w:rPr>
        <w:t>*</w:t>
      </w:r>
    </w:p>
    <w:p w:rsidR="007E7670" w:rsidRPr="009044AE" w:rsidRDefault="007E7670" w:rsidP="007E767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9044AE">
        <w:rPr>
          <w:rFonts w:ascii="Times New Roman" w:eastAsia="Times New Roman" w:hAnsi="Times New Roman" w:cs="Times New Roman"/>
          <w:sz w:val="24"/>
          <w:szCs w:val="24"/>
        </w:rPr>
        <w:lastRenderedPageBreak/>
        <w:t>by achieving a grade of C- or above in a language course numbered 201 or above at the University of Montana (see list of courses below);</w:t>
      </w:r>
    </w:p>
    <w:p w:rsidR="007E7670" w:rsidRPr="009044AE" w:rsidRDefault="007E7670" w:rsidP="007E767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9044AE">
        <w:rPr>
          <w:rFonts w:ascii="Times New Roman" w:eastAsia="Times New Roman" w:hAnsi="Times New Roman" w:cs="Times New Roman"/>
          <w:sz w:val="24"/>
          <w:szCs w:val="24"/>
        </w:rPr>
        <w:t>by presenting a transcript record of completion with a grade of C- or better of a second- semester (or more advanced) language course at an accredited college or university;</w:t>
      </w:r>
    </w:p>
    <w:p w:rsidR="007E7670" w:rsidRPr="009044AE" w:rsidRDefault="007E7670" w:rsidP="007E767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9044AE">
        <w:rPr>
          <w:rFonts w:ascii="Times New Roman" w:eastAsia="Times New Roman" w:hAnsi="Times New Roman" w:cs="Times New Roman"/>
          <w:sz w:val="24"/>
          <w:szCs w:val="24"/>
        </w:rPr>
        <w:t>by achieving an appropriate score on a placement exam administered by the offering department;</w:t>
      </w:r>
    </w:p>
    <w:p w:rsidR="007E7670" w:rsidRPr="009044AE" w:rsidRDefault="007E7670" w:rsidP="007E7670">
      <w:pPr>
        <w:numPr>
          <w:ilvl w:val="0"/>
          <w:numId w:val="28"/>
        </w:numPr>
        <w:spacing w:before="100" w:beforeAutospacing="1" w:after="100" w:afterAutospacing="1" w:line="240" w:lineRule="auto"/>
        <w:rPr>
          <w:rFonts w:ascii="Times New Roman" w:eastAsia="Times New Roman" w:hAnsi="Times New Roman" w:cs="Times New Roman"/>
          <w:sz w:val="24"/>
          <w:szCs w:val="24"/>
        </w:rPr>
      </w:pPr>
      <w:proofErr w:type="gramStart"/>
      <w:r w:rsidRPr="009044AE">
        <w:rPr>
          <w:rFonts w:ascii="Times New Roman" w:eastAsia="Times New Roman" w:hAnsi="Times New Roman" w:cs="Times New Roman"/>
          <w:sz w:val="24"/>
          <w:szCs w:val="24"/>
        </w:rPr>
        <w:t>by</w:t>
      </w:r>
      <w:proofErr w:type="gramEnd"/>
      <w:r w:rsidRPr="009044AE">
        <w:rPr>
          <w:rFonts w:ascii="Times New Roman" w:eastAsia="Times New Roman" w:hAnsi="Times New Roman" w:cs="Times New Roman"/>
          <w:sz w:val="24"/>
          <w:szCs w:val="24"/>
        </w:rPr>
        <w:t xml:space="preserve"> receiving verification of an appropriate level of proficiency in any other natural language in collaboration with the department of Modern and Classical Languages and  Literatures. Note that the student’s native language, if it is not English, can be used to fulfill this requirement.</w:t>
      </w:r>
    </w:p>
    <w:p w:rsidR="007E7670" w:rsidRPr="009044AE" w:rsidRDefault="007E7670" w:rsidP="007E7670">
      <w:pPr>
        <w:spacing w:before="100" w:beforeAutospacing="1" w:after="100" w:afterAutospacing="1" w:line="240" w:lineRule="auto"/>
        <w:rPr>
          <w:rFonts w:ascii="Times New Roman" w:eastAsia="Times New Roman" w:hAnsi="Times New Roman" w:cs="Times New Roman"/>
          <w:strike/>
          <w:color w:val="C00000"/>
          <w:sz w:val="24"/>
          <w:szCs w:val="24"/>
        </w:rPr>
      </w:pPr>
      <w:r w:rsidRPr="009044AE">
        <w:rPr>
          <w:rFonts w:ascii="Times New Roman" w:eastAsia="Times New Roman" w:hAnsi="Times New Roman" w:cs="Times New Roman"/>
          <w:strike/>
          <w:color w:val="C00000"/>
          <w:sz w:val="24"/>
          <w:szCs w:val="24"/>
        </w:rPr>
        <w:t>* Three 3-credit courses of Irish are required to fulfill the general education requirement.</w:t>
      </w:r>
    </w:p>
    <w:p w:rsidR="007E7670" w:rsidRDefault="007E7670" w:rsidP="007E7670">
      <w:pPr>
        <w:spacing w:before="100" w:beforeAutospacing="1" w:after="0" w:line="240" w:lineRule="auto"/>
        <w:rPr>
          <w:rFonts w:ascii="Times New Roman" w:eastAsia="Times New Roman" w:hAnsi="Times New Roman" w:cs="Times New Roman"/>
          <w:sz w:val="24"/>
          <w:szCs w:val="24"/>
        </w:rPr>
      </w:pPr>
      <w:r w:rsidRPr="009044AE">
        <w:rPr>
          <w:rFonts w:ascii="Times New Roman" w:eastAsia="Times New Roman" w:hAnsi="Times New Roman" w:cs="Times New Roman"/>
          <w:sz w:val="24"/>
          <w:szCs w:val="24"/>
        </w:rPr>
        <w:t>Upon completion of the Modern and Classical Languages requirement, the student will have a basic functional knowledge of a second natural language sufficient to:</w:t>
      </w:r>
      <w:r>
        <w:rPr>
          <w:rFonts w:ascii="Times New Roman" w:eastAsia="Times New Roman" w:hAnsi="Times New Roman" w:cs="Times New Roman"/>
          <w:sz w:val="24"/>
          <w:szCs w:val="24"/>
        </w:rPr>
        <w:t xml:space="preserve">  </w:t>
      </w:r>
    </w:p>
    <w:p w:rsidR="007E7670" w:rsidRPr="009044AE" w:rsidRDefault="007E7670" w:rsidP="007E7670">
      <w:pPr>
        <w:spacing w:after="0" w:line="240" w:lineRule="auto"/>
        <w:ind w:left="2160" w:firstLine="720"/>
        <w:rPr>
          <w:rFonts w:ascii="Times New Roman" w:eastAsia="Times New Roman" w:hAnsi="Times New Roman" w:cs="Times New Roman"/>
          <w:color w:val="0070C0"/>
          <w:sz w:val="24"/>
          <w:szCs w:val="24"/>
        </w:rPr>
      </w:pPr>
    </w:p>
    <w:p w:rsidR="007E7670" w:rsidRPr="009044AE" w:rsidRDefault="007E7670" w:rsidP="007E7670">
      <w:pPr>
        <w:pStyle w:val="ListParagraph"/>
        <w:numPr>
          <w:ilvl w:val="0"/>
          <w:numId w:val="29"/>
        </w:numPr>
        <w:spacing w:after="100" w:afterAutospacing="1" w:line="240" w:lineRule="auto"/>
        <w:rPr>
          <w:rFonts w:ascii="Times New Roman" w:eastAsia="Times New Roman" w:hAnsi="Times New Roman" w:cs="Times New Roman"/>
          <w:sz w:val="24"/>
          <w:szCs w:val="24"/>
        </w:rPr>
      </w:pPr>
      <w:r w:rsidRPr="009044AE">
        <w:rPr>
          <w:rFonts w:ascii="Times New Roman" w:eastAsia="Times New Roman" w:hAnsi="Times New Roman" w:cs="Times New Roman"/>
          <w:sz w:val="24"/>
          <w:szCs w:val="24"/>
        </w:rPr>
        <w:t>read and write</w:t>
      </w:r>
      <w:r w:rsidRPr="009044AE">
        <w:rPr>
          <w:rFonts w:ascii="Times New Roman" w:eastAsia="Times New Roman" w:hAnsi="Times New Roman" w:cs="Times New Roman"/>
          <w:color w:val="0070C0"/>
          <w:sz w:val="24"/>
          <w:szCs w:val="24"/>
        </w:rPr>
        <w:t>,</w:t>
      </w:r>
      <w:r w:rsidRPr="009044AE">
        <w:rPr>
          <w:rFonts w:ascii="Times New Roman" w:eastAsia="Times New Roman" w:hAnsi="Times New Roman" w:cs="Times New Roman"/>
          <w:sz w:val="24"/>
          <w:szCs w:val="24"/>
        </w:rPr>
        <w:t xml:space="preserve"> if the language is classical, such as Latin or classical Greek;</w:t>
      </w:r>
    </w:p>
    <w:p w:rsidR="007E7670" w:rsidRPr="009044AE" w:rsidRDefault="007E7670" w:rsidP="007E7670">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044AE">
        <w:rPr>
          <w:rFonts w:ascii="Times New Roman" w:eastAsia="Times New Roman" w:hAnsi="Times New Roman" w:cs="Times New Roman"/>
          <w:sz w:val="24"/>
          <w:szCs w:val="24"/>
        </w:rPr>
        <w:t>speak and aurally comprehend, if the language does not have a written tradition, such as Salish;</w:t>
      </w:r>
    </w:p>
    <w:p w:rsidR="007E7670" w:rsidRPr="009044AE" w:rsidRDefault="007E7670" w:rsidP="007E7670">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044AE">
        <w:rPr>
          <w:rFonts w:ascii="Times New Roman" w:eastAsia="Times New Roman" w:hAnsi="Times New Roman" w:cs="Times New Roman"/>
          <w:sz w:val="24"/>
          <w:szCs w:val="24"/>
        </w:rPr>
        <w:t>perform all four skills (speaking, aural comprehension, reading, and writing) if the language is modern and has a written tradition, such as Japanese or French;</w:t>
      </w:r>
    </w:p>
    <w:p w:rsidR="007E7670" w:rsidRPr="009044AE" w:rsidRDefault="007E7670" w:rsidP="007E7670">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gramStart"/>
      <w:r w:rsidRPr="009044AE">
        <w:rPr>
          <w:rFonts w:ascii="Times New Roman" w:eastAsia="Times New Roman" w:hAnsi="Times New Roman" w:cs="Times New Roman"/>
          <w:sz w:val="24"/>
          <w:szCs w:val="24"/>
        </w:rPr>
        <w:t>demonstrate</w:t>
      </w:r>
      <w:proofErr w:type="gramEnd"/>
      <w:r w:rsidRPr="009044AE">
        <w:rPr>
          <w:rFonts w:ascii="Times New Roman" w:eastAsia="Times New Roman" w:hAnsi="Times New Roman" w:cs="Times New Roman"/>
          <w:sz w:val="24"/>
          <w:szCs w:val="24"/>
        </w:rPr>
        <w:t xml:space="preserve"> both receptive (visual comprehension) and expressive (manual production) proficiency if the language is American Sign Language.</w:t>
      </w:r>
    </w:p>
    <w:p w:rsidR="007E7670" w:rsidRDefault="007E7670" w:rsidP="007E7670">
      <w:pPr>
        <w:spacing w:before="100" w:beforeAutospacing="1" w:after="100" w:afterAutospacing="1" w:line="240" w:lineRule="auto"/>
        <w:rPr>
          <w:rFonts w:ascii="Times New Roman" w:eastAsia="Times New Roman" w:hAnsi="Times New Roman" w:cs="Times New Roman"/>
          <w:sz w:val="24"/>
          <w:szCs w:val="24"/>
        </w:rPr>
      </w:pPr>
      <w:r w:rsidRPr="009044AE">
        <w:rPr>
          <w:rFonts w:ascii="Times New Roman" w:eastAsia="Times New Roman" w:hAnsi="Times New Roman" w:cs="Times New Roman"/>
          <w:sz w:val="24"/>
          <w:szCs w:val="24"/>
        </w:rPr>
        <w:t>The courses listed below require prerequisites be met before registration. The prerequisites for the following courses are listed in the individual course descriptions.</w:t>
      </w:r>
    </w:p>
    <w:p w:rsidR="00560E2B" w:rsidRPr="009044AE" w:rsidRDefault="00560E2B" w:rsidP="007E76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of courses]</w:t>
      </w:r>
    </w:p>
    <w:p w:rsidR="007E7670" w:rsidRDefault="007E7670" w:rsidP="0064126D"/>
    <w:sectPr w:rsidR="007E7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2BE"/>
    <w:multiLevelType w:val="multilevel"/>
    <w:tmpl w:val="0F1A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1E15C2"/>
    <w:multiLevelType w:val="hybridMultilevel"/>
    <w:tmpl w:val="D2E4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679F5"/>
    <w:multiLevelType w:val="hybridMultilevel"/>
    <w:tmpl w:val="E5D8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1D2A17B3"/>
    <w:multiLevelType w:val="multilevel"/>
    <w:tmpl w:val="C806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201C5C"/>
    <w:multiLevelType w:val="hybridMultilevel"/>
    <w:tmpl w:val="6354E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C27CFA"/>
    <w:multiLevelType w:val="hybridMultilevel"/>
    <w:tmpl w:val="C238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F64FC"/>
    <w:multiLevelType w:val="hybridMultilevel"/>
    <w:tmpl w:val="DB7A8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BB30C6"/>
    <w:multiLevelType w:val="hybridMultilevel"/>
    <w:tmpl w:val="AF6A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505A2"/>
    <w:multiLevelType w:val="hybridMultilevel"/>
    <w:tmpl w:val="9C584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921CDF"/>
    <w:multiLevelType w:val="hybridMultilevel"/>
    <w:tmpl w:val="A844E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143FC5"/>
    <w:multiLevelType w:val="multilevel"/>
    <w:tmpl w:val="5B74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F909F0"/>
    <w:multiLevelType w:val="hybridMultilevel"/>
    <w:tmpl w:val="FCA27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2A0429"/>
    <w:multiLevelType w:val="hybridMultilevel"/>
    <w:tmpl w:val="81367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28C0F2A"/>
    <w:multiLevelType w:val="hybridMultilevel"/>
    <w:tmpl w:val="FB26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A43B15"/>
    <w:multiLevelType w:val="hybridMultilevel"/>
    <w:tmpl w:val="8776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433807"/>
    <w:multiLevelType w:val="hybridMultilevel"/>
    <w:tmpl w:val="51BA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1359CC"/>
    <w:multiLevelType w:val="multilevel"/>
    <w:tmpl w:val="655E3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F2848EF"/>
    <w:multiLevelType w:val="multilevel"/>
    <w:tmpl w:val="5E3C7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0FE404F"/>
    <w:multiLevelType w:val="hybridMultilevel"/>
    <w:tmpl w:val="2DE29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8F1282"/>
    <w:multiLevelType w:val="multilevel"/>
    <w:tmpl w:val="B3E4E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7B7260"/>
    <w:multiLevelType w:val="hybridMultilevel"/>
    <w:tmpl w:val="18F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617452"/>
    <w:multiLevelType w:val="hybridMultilevel"/>
    <w:tmpl w:val="634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8E2A51"/>
    <w:multiLevelType w:val="hybridMultilevel"/>
    <w:tmpl w:val="E7E4C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2C607F"/>
    <w:multiLevelType w:val="hybridMultilevel"/>
    <w:tmpl w:val="7A884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7511F"/>
    <w:multiLevelType w:val="hybridMultilevel"/>
    <w:tmpl w:val="BCEA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5220A"/>
    <w:multiLevelType w:val="hybridMultilevel"/>
    <w:tmpl w:val="C268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714372"/>
    <w:multiLevelType w:val="hybridMultilevel"/>
    <w:tmpl w:val="82624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791538D"/>
    <w:multiLevelType w:val="hybridMultilevel"/>
    <w:tmpl w:val="1EF28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1"/>
  </w:num>
  <w:num w:numId="4">
    <w:abstractNumId w:val="18"/>
  </w:num>
  <w:num w:numId="5">
    <w:abstractNumId w:val="11"/>
  </w:num>
  <w:num w:numId="6">
    <w:abstractNumId w:val="0"/>
  </w:num>
  <w:num w:numId="7">
    <w:abstractNumId w:val="17"/>
  </w:num>
  <w:num w:numId="8">
    <w:abstractNumId w:val="28"/>
  </w:num>
  <w:num w:numId="9">
    <w:abstractNumId w:val="12"/>
  </w:num>
  <w:num w:numId="10">
    <w:abstractNumId w:val="19"/>
  </w:num>
  <w:num w:numId="11">
    <w:abstractNumId w:val="27"/>
  </w:num>
  <w:num w:numId="12">
    <w:abstractNumId w:val="7"/>
  </w:num>
  <w:num w:numId="13">
    <w:abstractNumId w:val="15"/>
  </w:num>
  <w:num w:numId="14">
    <w:abstractNumId w:val="13"/>
  </w:num>
  <w:num w:numId="15">
    <w:abstractNumId w:val="24"/>
  </w:num>
  <w:num w:numId="16">
    <w:abstractNumId w:val="22"/>
  </w:num>
  <w:num w:numId="17">
    <w:abstractNumId w:val="2"/>
  </w:num>
  <w:num w:numId="18">
    <w:abstractNumId w:val="9"/>
  </w:num>
  <w:num w:numId="19">
    <w:abstractNumId w:val="3"/>
  </w:num>
  <w:num w:numId="20">
    <w:abstractNumId w:val="21"/>
  </w:num>
  <w:num w:numId="21">
    <w:abstractNumId w:val="26"/>
  </w:num>
  <w:num w:numId="22">
    <w:abstractNumId w:val="14"/>
  </w:num>
  <w:num w:numId="23">
    <w:abstractNumId w:val="16"/>
  </w:num>
  <w:num w:numId="24">
    <w:abstractNumId w:val="6"/>
  </w:num>
  <w:num w:numId="25">
    <w:abstractNumId w:val="20"/>
  </w:num>
  <w:num w:numId="26">
    <w:abstractNumId w:val="10"/>
  </w:num>
  <w:num w:numId="27">
    <w:abstractNumId w:val="25"/>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42"/>
    <w:rsid w:val="000029D4"/>
    <w:rsid w:val="000042DD"/>
    <w:rsid w:val="00006579"/>
    <w:rsid w:val="0001006E"/>
    <w:rsid w:val="00010614"/>
    <w:rsid w:val="0001110A"/>
    <w:rsid w:val="000116B8"/>
    <w:rsid w:val="0001265F"/>
    <w:rsid w:val="00013529"/>
    <w:rsid w:val="0001544C"/>
    <w:rsid w:val="00015D8E"/>
    <w:rsid w:val="000168C4"/>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4F9A"/>
    <w:rsid w:val="000374DB"/>
    <w:rsid w:val="00037991"/>
    <w:rsid w:val="0004086B"/>
    <w:rsid w:val="0004167F"/>
    <w:rsid w:val="00041FA0"/>
    <w:rsid w:val="00046245"/>
    <w:rsid w:val="0004655E"/>
    <w:rsid w:val="00046F51"/>
    <w:rsid w:val="0004706B"/>
    <w:rsid w:val="00051177"/>
    <w:rsid w:val="00051211"/>
    <w:rsid w:val="00056136"/>
    <w:rsid w:val="00056FD2"/>
    <w:rsid w:val="000574C5"/>
    <w:rsid w:val="00057723"/>
    <w:rsid w:val="00072F7A"/>
    <w:rsid w:val="00075001"/>
    <w:rsid w:val="00075601"/>
    <w:rsid w:val="00075767"/>
    <w:rsid w:val="00075975"/>
    <w:rsid w:val="000771A2"/>
    <w:rsid w:val="000776AE"/>
    <w:rsid w:val="00080869"/>
    <w:rsid w:val="00082349"/>
    <w:rsid w:val="00083BC6"/>
    <w:rsid w:val="00084A32"/>
    <w:rsid w:val="00084F5A"/>
    <w:rsid w:val="00086E81"/>
    <w:rsid w:val="0008727C"/>
    <w:rsid w:val="00087FED"/>
    <w:rsid w:val="0009207C"/>
    <w:rsid w:val="00094216"/>
    <w:rsid w:val="00097D90"/>
    <w:rsid w:val="000A1363"/>
    <w:rsid w:val="000A3E89"/>
    <w:rsid w:val="000A686E"/>
    <w:rsid w:val="000B02C3"/>
    <w:rsid w:val="000B1EF0"/>
    <w:rsid w:val="000B321A"/>
    <w:rsid w:val="000B7E48"/>
    <w:rsid w:val="000C5D24"/>
    <w:rsid w:val="000C6AA9"/>
    <w:rsid w:val="000C7E94"/>
    <w:rsid w:val="000D0803"/>
    <w:rsid w:val="000D18FA"/>
    <w:rsid w:val="000D273E"/>
    <w:rsid w:val="000D398D"/>
    <w:rsid w:val="000D5287"/>
    <w:rsid w:val="000D563F"/>
    <w:rsid w:val="000D5D01"/>
    <w:rsid w:val="000D5D6C"/>
    <w:rsid w:val="000D60B6"/>
    <w:rsid w:val="000D6937"/>
    <w:rsid w:val="000E019F"/>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530"/>
    <w:rsid w:val="00103F98"/>
    <w:rsid w:val="00104BD5"/>
    <w:rsid w:val="00104D64"/>
    <w:rsid w:val="00105631"/>
    <w:rsid w:val="00105873"/>
    <w:rsid w:val="00106F13"/>
    <w:rsid w:val="00107C47"/>
    <w:rsid w:val="001100C0"/>
    <w:rsid w:val="00111DEE"/>
    <w:rsid w:val="0011228F"/>
    <w:rsid w:val="00112443"/>
    <w:rsid w:val="001141A5"/>
    <w:rsid w:val="00117BD0"/>
    <w:rsid w:val="00120175"/>
    <w:rsid w:val="001204B0"/>
    <w:rsid w:val="001222ED"/>
    <w:rsid w:val="00127D71"/>
    <w:rsid w:val="001319AA"/>
    <w:rsid w:val="00132397"/>
    <w:rsid w:val="00133313"/>
    <w:rsid w:val="0013479C"/>
    <w:rsid w:val="0013587B"/>
    <w:rsid w:val="0014032E"/>
    <w:rsid w:val="00141854"/>
    <w:rsid w:val="00141C4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19CE"/>
    <w:rsid w:val="001B2783"/>
    <w:rsid w:val="001B3826"/>
    <w:rsid w:val="001B3EF2"/>
    <w:rsid w:val="001B6214"/>
    <w:rsid w:val="001B6AA8"/>
    <w:rsid w:val="001C0952"/>
    <w:rsid w:val="001C3032"/>
    <w:rsid w:val="001C3BB0"/>
    <w:rsid w:val="001C66E3"/>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2291"/>
    <w:rsid w:val="00226ED8"/>
    <w:rsid w:val="002270ED"/>
    <w:rsid w:val="002304CF"/>
    <w:rsid w:val="002364D6"/>
    <w:rsid w:val="00237074"/>
    <w:rsid w:val="00237948"/>
    <w:rsid w:val="002424DC"/>
    <w:rsid w:val="00243616"/>
    <w:rsid w:val="002468D5"/>
    <w:rsid w:val="0025091B"/>
    <w:rsid w:val="00250B7A"/>
    <w:rsid w:val="00254CAB"/>
    <w:rsid w:val="00255526"/>
    <w:rsid w:val="002572F0"/>
    <w:rsid w:val="002575D8"/>
    <w:rsid w:val="00261C1D"/>
    <w:rsid w:val="0026393D"/>
    <w:rsid w:val="00263942"/>
    <w:rsid w:val="00264F2C"/>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9780B"/>
    <w:rsid w:val="002A0915"/>
    <w:rsid w:val="002A0C5C"/>
    <w:rsid w:val="002A1308"/>
    <w:rsid w:val="002A2B2D"/>
    <w:rsid w:val="002A2D3C"/>
    <w:rsid w:val="002B120C"/>
    <w:rsid w:val="002B32B2"/>
    <w:rsid w:val="002B45CB"/>
    <w:rsid w:val="002B6712"/>
    <w:rsid w:val="002B67D6"/>
    <w:rsid w:val="002B7082"/>
    <w:rsid w:val="002C0371"/>
    <w:rsid w:val="002C0A94"/>
    <w:rsid w:val="002C0BB0"/>
    <w:rsid w:val="002C1DBC"/>
    <w:rsid w:val="002C4CB1"/>
    <w:rsid w:val="002C4D87"/>
    <w:rsid w:val="002C4F75"/>
    <w:rsid w:val="002C5FA7"/>
    <w:rsid w:val="002C72BB"/>
    <w:rsid w:val="002C7534"/>
    <w:rsid w:val="002D1A26"/>
    <w:rsid w:val="002D556F"/>
    <w:rsid w:val="002D6516"/>
    <w:rsid w:val="002D6E09"/>
    <w:rsid w:val="002D7565"/>
    <w:rsid w:val="002E7D6C"/>
    <w:rsid w:val="002F2B62"/>
    <w:rsid w:val="002F3462"/>
    <w:rsid w:val="002F3AFD"/>
    <w:rsid w:val="002F460D"/>
    <w:rsid w:val="002F4650"/>
    <w:rsid w:val="002F7A2E"/>
    <w:rsid w:val="00300702"/>
    <w:rsid w:val="003021B6"/>
    <w:rsid w:val="00302429"/>
    <w:rsid w:val="0030462D"/>
    <w:rsid w:val="00306C82"/>
    <w:rsid w:val="00310706"/>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03C3"/>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1E0"/>
    <w:rsid w:val="0037747F"/>
    <w:rsid w:val="00380AA5"/>
    <w:rsid w:val="0038494D"/>
    <w:rsid w:val="003856BC"/>
    <w:rsid w:val="00385C63"/>
    <w:rsid w:val="003867FD"/>
    <w:rsid w:val="003900DD"/>
    <w:rsid w:val="0039252D"/>
    <w:rsid w:val="003929A2"/>
    <w:rsid w:val="00392FCA"/>
    <w:rsid w:val="00393C53"/>
    <w:rsid w:val="00395721"/>
    <w:rsid w:val="00396398"/>
    <w:rsid w:val="0039703D"/>
    <w:rsid w:val="003A0E24"/>
    <w:rsid w:val="003A22E1"/>
    <w:rsid w:val="003A393C"/>
    <w:rsid w:val="003A4413"/>
    <w:rsid w:val="003A4CB6"/>
    <w:rsid w:val="003A52E7"/>
    <w:rsid w:val="003A538C"/>
    <w:rsid w:val="003A5C51"/>
    <w:rsid w:val="003A5E77"/>
    <w:rsid w:val="003A6369"/>
    <w:rsid w:val="003B1084"/>
    <w:rsid w:val="003B28E0"/>
    <w:rsid w:val="003B3061"/>
    <w:rsid w:val="003C568D"/>
    <w:rsid w:val="003D16DC"/>
    <w:rsid w:val="003D52B1"/>
    <w:rsid w:val="003E4419"/>
    <w:rsid w:val="003E6485"/>
    <w:rsid w:val="003E7AE5"/>
    <w:rsid w:val="003F07E3"/>
    <w:rsid w:val="003F0DC3"/>
    <w:rsid w:val="003F0FA3"/>
    <w:rsid w:val="003F1936"/>
    <w:rsid w:val="003F2762"/>
    <w:rsid w:val="003F4467"/>
    <w:rsid w:val="003F4D02"/>
    <w:rsid w:val="003F6921"/>
    <w:rsid w:val="00401EDC"/>
    <w:rsid w:val="00405DCA"/>
    <w:rsid w:val="00406F2E"/>
    <w:rsid w:val="00410787"/>
    <w:rsid w:val="00410E76"/>
    <w:rsid w:val="0041100C"/>
    <w:rsid w:val="00412CEB"/>
    <w:rsid w:val="004147DD"/>
    <w:rsid w:val="00414E8A"/>
    <w:rsid w:val="00415206"/>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18A7"/>
    <w:rsid w:val="004626F5"/>
    <w:rsid w:val="00463064"/>
    <w:rsid w:val="00465684"/>
    <w:rsid w:val="00466240"/>
    <w:rsid w:val="00466801"/>
    <w:rsid w:val="00466BC8"/>
    <w:rsid w:val="00466F52"/>
    <w:rsid w:val="00471DF8"/>
    <w:rsid w:val="00476650"/>
    <w:rsid w:val="00476764"/>
    <w:rsid w:val="00481D37"/>
    <w:rsid w:val="00482948"/>
    <w:rsid w:val="00483917"/>
    <w:rsid w:val="00483F4F"/>
    <w:rsid w:val="0048415B"/>
    <w:rsid w:val="00486D69"/>
    <w:rsid w:val="004872B1"/>
    <w:rsid w:val="00487FA0"/>
    <w:rsid w:val="004904EC"/>
    <w:rsid w:val="00490691"/>
    <w:rsid w:val="004920F0"/>
    <w:rsid w:val="00493A78"/>
    <w:rsid w:val="004943CD"/>
    <w:rsid w:val="004955B8"/>
    <w:rsid w:val="004963A0"/>
    <w:rsid w:val="00496708"/>
    <w:rsid w:val="004968F0"/>
    <w:rsid w:val="004A02A9"/>
    <w:rsid w:val="004A0672"/>
    <w:rsid w:val="004A0FF9"/>
    <w:rsid w:val="004A30DC"/>
    <w:rsid w:val="004A3A71"/>
    <w:rsid w:val="004A6FF2"/>
    <w:rsid w:val="004A76F0"/>
    <w:rsid w:val="004B1722"/>
    <w:rsid w:val="004B55F2"/>
    <w:rsid w:val="004B591F"/>
    <w:rsid w:val="004B6671"/>
    <w:rsid w:val="004C02A7"/>
    <w:rsid w:val="004C267D"/>
    <w:rsid w:val="004C33E5"/>
    <w:rsid w:val="004C4BB9"/>
    <w:rsid w:val="004C78B9"/>
    <w:rsid w:val="004C7E1E"/>
    <w:rsid w:val="004D5AD9"/>
    <w:rsid w:val="004D5DE8"/>
    <w:rsid w:val="004D7262"/>
    <w:rsid w:val="004D7992"/>
    <w:rsid w:val="004E1578"/>
    <w:rsid w:val="004E25EE"/>
    <w:rsid w:val="004E27C4"/>
    <w:rsid w:val="004E3634"/>
    <w:rsid w:val="004E6E45"/>
    <w:rsid w:val="004F245E"/>
    <w:rsid w:val="004F3BC7"/>
    <w:rsid w:val="004F5165"/>
    <w:rsid w:val="004F6AF1"/>
    <w:rsid w:val="004F7FCC"/>
    <w:rsid w:val="0050032C"/>
    <w:rsid w:val="005007E8"/>
    <w:rsid w:val="0050134F"/>
    <w:rsid w:val="00502E0E"/>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873"/>
    <w:rsid w:val="00542B3B"/>
    <w:rsid w:val="00545708"/>
    <w:rsid w:val="0055162C"/>
    <w:rsid w:val="00553B7B"/>
    <w:rsid w:val="0055482A"/>
    <w:rsid w:val="005556CC"/>
    <w:rsid w:val="00555870"/>
    <w:rsid w:val="00555902"/>
    <w:rsid w:val="00560E2B"/>
    <w:rsid w:val="00562B89"/>
    <w:rsid w:val="0056385E"/>
    <w:rsid w:val="00563BAA"/>
    <w:rsid w:val="00566C5E"/>
    <w:rsid w:val="00566CBF"/>
    <w:rsid w:val="00567266"/>
    <w:rsid w:val="00570704"/>
    <w:rsid w:val="00570944"/>
    <w:rsid w:val="00572CAB"/>
    <w:rsid w:val="00576391"/>
    <w:rsid w:val="005763FA"/>
    <w:rsid w:val="00576678"/>
    <w:rsid w:val="005767D7"/>
    <w:rsid w:val="00584EB4"/>
    <w:rsid w:val="005854E7"/>
    <w:rsid w:val="00585A87"/>
    <w:rsid w:val="00586E17"/>
    <w:rsid w:val="00586FB7"/>
    <w:rsid w:val="005877CE"/>
    <w:rsid w:val="00592492"/>
    <w:rsid w:val="005937B5"/>
    <w:rsid w:val="005955F5"/>
    <w:rsid w:val="00595D78"/>
    <w:rsid w:val="00597FF4"/>
    <w:rsid w:val="005A3DAA"/>
    <w:rsid w:val="005A6CD6"/>
    <w:rsid w:val="005B1CA1"/>
    <w:rsid w:val="005B379E"/>
    <w:rsid w:val="005B51AA"/>
    <w:rsid w:val="005C059A"/>
    <w:rsid w:val="005C39CA"/>
    <w:rsid w:val="005C3E52"/>
    <w:rsid w:val="005D4766"/>
    <w:rsid w:val="005D5D6D"/>
    <w:rsid w:val="005E398C"/>
    <w:rsid w:val="005E4220"/>
    <w:rsid w:val="005E440F"/>
    <w:rsid w:val="005E7704"/>
    <w:rsid w:val="005E7BDE"/>
    <w:rsid w:val="005F3250"/>
    <w:rsid w:val="005F34B0"/>
    <w:rsid w:val="005F451F"/>
    <w:rsid w:val="005F5467"/>
    <w:rsid w:val="005F5AA7"/>
    <w:rsid w:val="0060040C"/>
    <w:rsid w:val="0060057C"/>
    <w:rsid w:val="006024BD"/>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126D"/>
    <w:rsid w:val="00642DC7"/>
    <w:rsid w:val="00644778"/>
    <w:rsid w:val="00646268"/>
    <w:rsid w:val="00650AE2"/>
    <w:rsid w:val="00650B6B"/>
    <w:rsid w:val="00653814"/>
    <w:rsid w:val="00654556"/>
    <w:rsid w:val="0065563A"/>
    <w:rsid w:val="00655C21"/>
    <w:rsid w:val="00656BCF"/>
    <w:rsid w:val="00662034"/>
    <w:rsid w:val="0066528C"/>
    <w:rsid w:val="00665798"/>
    <w:rsid w:val="00665B8D"/>
    <w:rsid w:val="00665D3C"/>
    <w:rsid w:val="0066651B"/>
    <w:rsid w:val="006712D8"/>
    <w:rsid w:val="00673164"/>
    <w:rsid w:val="0067501E"/>
    <w:rsid w:val="00675DBA"/>
    <w:rsid w:val="00676585"/>
    <w:rsid w:val="00680C0D"/>
    <w:rsid w:val="006819A1"/>
    <w:rsid w:val="006859F7"/>
    <w:rsid w:val="006862F7"/>
    <w:rsid w:val="00686E98"/>
    <w:rsid w:val="006906A7"/>
    <w:rsid w:val="0069269C"/>
    <w:rsid w:val="006949D2"/>
    <w:rsid w:val="006950A2"/>
    <w:rsid w:val="00697365"/>
    <w:rsid w:val="006979BF"/>
    <w:rsid w:val="006A0EBE"/>
    <w:rsid w:val="006A1A9E"/>
    <w:rsid w:val="006A2170"/>
    <w:rsid w:val="006A4864"/>
    <w:rsid w:val="006A7400"/>
    <w:rsid w:val="006A79E4"/>
    <w:rsid w:val="006B42B0"/>
    <w:rsid w:val="006B4DB9"/>
    <w:rsid w:val="006C00D9"/>
    <w:rsid w:val="006C0774"/>
    <w:rsid w:val="006C1B9D"/>
    <w:rsid w:val="006C40CA"/>
    <w:rsid w:val="006C7680"/>
    <w:rsid w:val="006D060B"/>
    <w:rsid w:val="006D07CE"/>
    <w:rsid w:val="006D124D"/>
    <w:rsid w:val="006D43DB"/>
    <w:rsid w:val="006D48DA"/>
    <w:rsid w:val="006D4B6C"/>
    <w:rsid w:val="006E083D"/>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064"/>
    <w:rsid w:val="0074475D"/>
    <w:rsid w:val="007447EC"/>
    <w:rsid w:val="00744AAE"/>
    <w:rsid w:val="0074506E"/>
    <w:rsid w:val="00750E92"/>
    <w:rsid w:val="00753746"/>
    <w:rsid w:val="007540AF"/>
    <w:rsid w:val="007569AA"/>
    <w:rsid w:val="00757791"/>
    <w:rsid w:val="00757CBD"/>
    <w:rsid w:val="00761AEA"/>
    <w:rsid w:val="00762F0E"/>
    <w:rsid w:val="00762FBA"/>
    <w:rsid w:val="00763A68"/>
    <w:rsid w:val="00763AC8"/>
    <w:rsid w:val="00766454"/>
    <w:rsid w:val="00767123"/>
    <w:rsid w:val="00770268"/>
    <w:rsid w:val="00770912"/>
    <w:rsid w:val="007717F7"/>
    <w:rsid w:val="00773598"/>
    <w:rsid w:val="00775B1E"/>
    <w:rsid w:val="0077601E"/>
    <w:rsid w:val="00777D8D"/>
    <w:rsid w:val="00780A45"/>
    <w:rsid w:val="00780B12"/>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3836"/>
    <w:rsid w:val="007C50C2"/>
    <w:rsid w:val="007D0D59"/>
    <w:rsid w:val="007D1516"/>
    <w:rsid w:val="007D3FB5"/>
    <w:rsid w:val="007D52BE"/>
    <w:rsid w:val="007D6BB9"/>
    <w:rsid w:val="007E20E2"/>
    <w:rsid w:val="007E2903"/>
    <w:rsid w:val="007E41E5"/>
    <w:rsid w:val="007E4FF5"/>
    <w:rsid w:val="007E679F"/>
    <w:rsid w:val="007E7323"/>
    <w:rsid w:val="007E7670"/>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5ED5"/>
    <w:rsid w:val="0083614F"/>
    <w:rsid w:val="00837699"/>
    <w:rsid w:val="0084190E"/>
    <w:rsid w:val="00842ADB"/>
    <w:rsid w:val="00846419"/>
    <w:rsid w:val="0084667C"/>
    <w:rsid w:val="008469BA"/>
    <w:rsid w:val="00846F26"/>
    <w:rsid w:val="00847155"/>
    <w:rsid w:val="00847544"/>
    <w:rsid w:val="0085081B"/>
    <w:rsid w:val="0085780F"/>
    <w:rsid w:val="00860DC5"/>
    <w:rsid w:val="00861F90"/>
    <w:rsid w:val="00864538"/>
    <w:rsid w:val="00864891"/>
    <w:rsid w:val="00865003"/>
    <w:rsid w:val="00865966"/>
    <w:rsid w:val="008662E9"/>
    <w:rsid w:val="008737A9"/>
    <w:rsid w:val="00874456"/>
    <w:rsid w:val="0087668A"/>
    <w:rsid w:val="00876A87"/>
    <w:rsid w:val="008770C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97D2D"/>
    <w:rsid w:val="008A40D9"/>
    <w:rsid w:val="008A4C66"/>
    <w:rsid w:val="008A6EAA"/>
    <w:rsid w:val="008A7517"/>
    <w:rsid w:val="008A7883"/>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82E"/>
    <w:rsid w:val="008E1A96"/>
    <w:rsid w:val="008E24AC"/>
    <w:rsid w:val="008E4D0D"/>
    <w:rsid w:val="008E647E"/>
    <w:rsid w:val="008E6594"/>
    <w:rsid w:val="008E7276"/>
    <w:rsid w:val="008F01E3"/>
    <w:rsid w:val="008F2E32"/>
    <w:rsid w:val="00901C82"/>
    <w:rsid w:val="009028AD"/>
    <w:rsid w:val="009055BD"/>
    <w:rsid w:val="009100DE"/>
    <w:rsid w:val="00910C2F"/>
    <w:rsid w:val="00912A76"/>
    <w:rsid w:val="00912BB6"/>
    <w:rsid w:val="009140A0"/>
    <w:rsid w:val="00915575"/>
    <w:rsid w:val="0092067E"/>
    <w:rsid w:val="00924AF9"/>
    <w:rsid w:val="0092539A"/>
    <w:rsid w:val="00930202"/>
    <w:rsid w:val="009320A0"/>
    <w:rsid w:val="00934EE7"/>
    <w:rsid w:val="00941764"/>
    <w:rsid w:val="00942773"/>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501"/>
    <w:rsid w:val="00980B02"/>
    <w:rsid w:val="00982D3E"/>
    <w:rsid w:val="00990278"/>
    <w:rsid w:val="00990A14"/>
    <w:rsid w:val="0099519A"/>
    <w:rsid w:val="00997433"/>
    <w:rsid w:val="009976F8"/>
    <w:rsid w:val="009A2D38"/>
    <w:rsid w:val="009A3E05"/>
    <w:rsid w:val="009A4B26"/>
    <w:rsid w:val="009A4D3F"/>
    <w:rsid w:val="009A5E20"/>
    <w:rsid w:val="009A6AA5"/>
    <w:rsid w:val="009B0C35"/>
    <w:rsid w:val="009B3D0A"/>
    <w:rsid w:val="009B4C6E"/>
    <w:rsid w:val="009C3496"/>
    <w:rsid w:val="009C39F5"/>
    <w:rsid w:val="009C3C48"/>
    <w:rsid w:val="009C65B3"/>
    <w:rsid w:val="009C729C"/>
    <w:rsid w:val="009D2FCA"/>
    <w:rsid w:val="009D35BB"/>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343A"/>
    <w:rsid w:val="00A141DC"/>
    <w:rsid w:val="00A1558F"/>
    <w:rsid w:val="00A16308"/>
    <w:rsid w:val="00A16F2D"/>
    <w:rsid w:val="00A17342"/>
    <w:rsid w:val="00A213CE"/>
    <w:rsid w:val="00A21C5A"/>
    <w:rsid w:val="00A24EA9"/>
    <w:rsid w:val="00A256E6"/>
    <w:rsid w:val="00A25C39"/>
    <w:rsid w:val="00A274DE"/>
    <w:rsid w:val="00A32878"/>
    <w:rsid w:val="00A33159"/>
    <w:rsid w:val="00A33727"/>
    <w:rsid w:val="00A34320"/>
    <w:rsid w:val="00A348F7"/>
    <w:rsid w:val="00A34E56"/>
    <w:rsid w:val="00A368D3"/>
    <w:rsid w:val="00A403A7"/>
    <w:rsid w:val="00A4055C"/>
    <w:rsid w:val="00A4171E"/>
    <w:rsid w:val="00A41785"/>
    <w:rsid w:val="00A41CA4"/>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63CC"/>
    <w:rsid w:val="00A87307"/>
    <w:rsid w:val="00A92AD7"/>
    <w:rsid w:val="00A948D1"/>
    <w:rsid w:val="00A94CCB"/>
    <w:rsid w:val="00A961CC"/>
    <w:rsid w:val="00A9714F"/>
    <w:rsid w:val="00A97609"/>
    <w:rsid w:val="00A9784F"/>
    <w:rsid w:val="00AA0087"/>
    <w:rsid w:val="00AA2458"/>
    <w:rsid w:val="00AA2D87"/>
    <w:rsid w:val="00AA3D1C"/>
    <w:rsid w:val="00AA4206"/>
    <w:rsid w:val="00AA4B4A"/>
    <w:rsid w:val="00AA50CD"/>
    <w:rsid w:val="00AA794D"/>
    <w:rsid w:val="00AB3A48"/>
    <w:rsid w:val="00AB4160"/>
    <w:rsid w:val="00AB4570"/>
    <w:rsid w:val="00AB6B3D"/>
    <w:rsid w:val="00AC31FF"/>
    <w:rsid w:val="00AC45A4"/>
    <w:rsid w:val="00AC6A3F"/>
    <w:rsid w:val="00AC7DFD"/>
    <w:rsid w:val="00AD0D4A"/>
    <w:rsid w:val="00AD0EC4"/>
    <w:rsid w:val="00AD1E98"/>
    <w:rsid w:val="00AD5921"/>
    <w:rsid w:val="00AD7D8B"/>
    <w:rsid w:val="00AE1E15"/>
    <w:rsid w:val="00AE1E2C"/>
    <w:rsid w:val="00AE20FF"/>
    <w:rsid w:val="00AE2B18"/>
    <w:rsid w:val="00AE328F"/>
    <w:rsid w:val="00AF2BDD"/>
    <w:rsid w:val="00AF6CDD"/>
    <w:rsid w:val="00B00E2B"/>
    <w:rsid w:val="00B01941"/>
    <w:rsid w:val="00B06A67"/>
    <w:rsid w:val="00B06A78"/>
    <w:rsid w:val="00B07ED0"/>
    <w:rsid w:val="00B11B23"/>
    <w:rsid w:val="00B12A0B"/>
    <w:rsid w:val="00B132D6"/>
    <w:rsid w:val="00B1366E"/>
    <w:rsid w:val="00B14B86"/>
    <w:rsid w:val="00B20BE3"/>
    <w:rsid w:val="00B20D68"/>
    <w:rsid w:val="00B21F5D"/>
    <w:rsid w:val="00B2609B"/>
    <w:rsid w:val="00B26474"/>
    <w:rsid w:val="00B27A95"/>
    <w:rsid w:val="00B301F1"/>
    <w:rsid w:val="00B30CCD"/>
    <w:rsid w:val="00B30F57"/>
    <w:rsid w:val="00B328F3"/>
    <w:rsid w:val="00B36AF6"/>
    <w:rsid w:val="00B41D98"/>
    <w:rsid w:val="00B428F7"/>
    <w:rsid w:val="00B429D8"/>
    <w:rsid w:val="00B44AF9"/>
    <w:rsid w:val="00B4679B"/>
    <w:rsid w:val="00B5311A"/>
    <w:rsid w:val="00B561CA"/>
    <w:rsid w:val="00B579B4"/>
    <w:rsid w:val="00B6014C"/>
    <w:rsid w:val="00B60D59"/>
    <w:rsid w:val="00B610C4"/>
    <w:rsid w:val="00B6196C"/>
    <w:rsid w:val="00B61C40"/>
    <w:rsid w:val="00B62888"/>
    <w:rsid w:val="00B656D4"/>
    <w:rsid w:val="00B65957"/>
    <w:rsid w:val="00B66479"/>
    <w:rsid w:val="00B674A6"/>
    <w:rsid w:val="00B72282"/>
    <w:rsid w:val="00B7292A"/>
    <w:rsid w:val="00B73921"/>
    <w:rsid w:val="00B7444C"/>
    <w:rsid w:val="00B749A9"/>
    <w:rsid w:val="00B80302"/>
    <w:rsid w:val="00B80D32"/>
    <w:rsid w:val="00B85257"/>
    <w:rsid w:val="00B857D5"/>
    <w:rsid w:val="00B8760A"/>
    <w:rsid w:val="00B908A8"/>
    <w:rsid w:val="00B9172D"/>
    <w:rsid w:val="00B93B69"/>
    <w:rsid w:val="00B9510D"/>
    <w:rsid w:val="00B95A70"/>
    <w:rsid w:val="00B971F5"/>
    <w:rsid w:val="00BA153B"/>
    <w:rsid w:val="00BA2107"/>
    <w:rsid w:val="00BA22BA"/>
    <w:rsid w:val="00BA4AFD"/>
    <w:rsid w:val="00BA5758"/>
    <w:rsid w:val="00BA7C14"/>
    <w:rsid w:val="00BB20FD"/>
    <w:rsid w:val="00BB2B65"/>
    <w:rsid w:val="00BB3AB0"/>
    <w:rsid w:val="00BB3E1F"/>
    <w:rsid w:val="00BB4E2D"/>
    <w:rsid w:val="00BB67A2"/>
    <w:rsid w:val="00BB6F69"/>
    <w:rsid w:val="00BB745A"/>
    <w:rsid w:val="00BB7662"/>
    <w:rsid w:val="00BC0615"/>
    <w:rsid w:val="00BC0F09"/>
    <w:rsid w:val="00BC1223"/>
    <w:rsid w:val="00BC4280"/>
    <w:rsid w:val="00BC4E91"/>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3608"/>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57F84"/>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97EF0"/>
    <w:rsid w:val="00CA212F"/>
    <w:rsid w:val="00CA3736"/>
    <w:rsid w:val="00CB2849"/>
    <w:rsid w:val="00CB373A"/>
    <w:rsid w:val="00CB4660"/>
    <w:rsid w:val="00CC0AF8"/>
    <w:rsid w:val="00CC2B00"/>
    <w:rsid w:val="00CC480F"/>
    <w:rsid w:val="00CC4A70"/>
    <w:rsid w:val="00CC696C"/>
    <w:rsid w:val="00CD0759"/>
    <w:rsid w:val="00CD1D92"/>
    <w:rsid w:val="00CD211A"/>
    <w:rsid w:val="00CD2D23"/>
    <w:rsid w:val="00CD46D5"/>
    <w:rsid w:val="00CD4D91"/>
    <w:rsid w:val="00CD5D5C"/>
    <w:rsid w:val="00CD66BA"/>
    <w:rsid w:val="00CD7317"/>
    <w:rsid w:val="00CD7A5C"/>
    <w:rsid w:val="00CD7C09"/>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3903"/>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660FA"/>
    <w:rsid w:val="00D730EE"/>
    <w:rsid w:val="00D73F2F"/>
    <w:rsid w:val="00D7467E"/>
    <w:rsid w:val="00D74BD6"/>
    <w:rsid w:val="00D74DE1"/>
    <w:rsid w:val="00D766D5"/>
    <w:rsid w:val="00D7682B"/>
    <w:rsid w:val="00D80A1C"/>
    <w:rsid w:val="00D80B67"/>
    <w:rsid w:val="00D80F6D"/>
    <w:rsid w:val="00D8221A"/>
    <w:rsid w:val="00D82D38"/>
    <w:rsid w:val="00D9094F"/>
    <w:rsid w:val="00D90EAF"/>
    <w:rsid w:val="00D952B3"/>
    <w:rsid w:val="00D96FAD"/>
    <w:rsid w:val="00DA01CB"/>
    <w:rsid w:val="00DA1B1B"/>
    <w:rsid w:val="00DA2014"/>
    <w:rsid w:val="00DA25FC"/>
    <w:rsid w:val="00DA2F76"/>
    <w:rsid w:val="00DA3185"/>
    <w:rsid w:val="00DA435C"/>
    <w:rsid w:val="00DA4756"/>
    <w:rsid w:val="00DA4B97"/>
    <w:rsid w:val="00DA6823"/>
    <w:rsid w:val="00DA6C22"/>
    <w:rsid w:val="00DA7577"/>
    <w:rsid w:val="00DA7F71"/>
    <w:rsid w:val="00DB17B6"/>
    <w:rsid w:val="00DB2969"/>
    <w:rsid w:val="00DB2C29"/>
    <w:rsid w:val="00DB424C"/>
    <w:rsid w:val="00DB68A1"/>
    <w:rsid w:val="00DB6DB6"/>
    <w:rsid w:val="00DC30C6"/>
    <w:rsid w:val="00DC536E"/>
    <w:rsid w:val="00DD03A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4177"/>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6447"/>
    <w:rsid w:val="00E4766B"/>
    <w:rsid w:val="00E50FEE"/>
    <w:rsid w:val="00E51C5B"/>
    <w:rsid w:val="00E54FFE"/>
    <w:rsid w:val="00E55B5A"/>
    <w:rsid w:val="00E569D9"/>
    <w:rsid w:val="00E61E67"/>
    <w:rsid w:val="00E629B4"/>
    <w:rsid w:val="00E62CED"/>
    <w:rsid w:val="00E63B8F"/>
    <w:rsid w:val="00E67960"/>
    <w:rsid w:val="00E7079B"/>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1BF1"/>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1D9"/>
    <w:rsid w:val="00ED5793"/>
    <w:rsid w:val="00EE058C"/>
    <w:rsid w:val="00EE1C3B"/>
    <w:rsid w:val="00EE1DAB"/>
    <w:rsid w:val="00EE27A2"/>
    <w:rsid w:val="00EE2834"/>
    <w:rsid w:val="00EE3557"/>
    <w:rsid w:val="00EE3BC8"/>
    <w:rsid w:val="00EE3F21"/>
    <w:rsid w:val="00EE633E"/>
    <w:rsid w:val="00EE711D"/>
    <w:rsid w:val="00EE7149"/>
    <w:rsid w:val="00EE72F5"/>
    <w:rsid w:val="00EF20C2"/>
    <w:rsid w:val="00EF335C"/>
    <w:rsid w:val="00F00859"/>
    <w:rsid w:val="00F02D8D"/>
    <w:rsid w:val="00F02E9A"/>
    <w:rsid w:val="00F05204"/>
    <w:rsid w:val="00F056B1"/>
    <w:rsid w:val="00F073C7"/>
    <w:rsid w:val="00F07412"/>
    <w:rsid w:val="00F119BC"/>
    <w:rsid w:val="00F13E3F"/>
    <w:rsid w:val="00F17942"/>
    <w:rsid w:val="00F17CB3"/>
    <w:rsid w:val="00F20E34"/>
    <w:rsid w:val="00F21734"/>
    <w:rsid w:val="00F22D0E"/>
    <w:rsid w:val="00F2305C"/>
    <w:rsid w:val="00F24BA9"/>
    <w:rsid w:val="00F26B35"/>
    <w:rsid w:val="00F3098A"/>
    <w:rsid w:val="00F311CA"/>
    <w:rsid w:val="00F32FB6"/>
    <w:rsid w:val="00F34EE9"/>
    <w:rsid w:val="00F34F64"/>
    <w:rsid w:val="00F4199F"/>
    <w:rsid w:val="00F422DC"/>
    <w:rsid w:val="00F42854"/>
    <w:rsid w:val="00F4447A"/>
    <w:rsid w:val="00F47EDE"/>
    <w:rsid w:val="00F532C0"/>
    <w:rsid w:val="00F5435E"/>
    <w:rsid w:val="00F544E6"/>
    <w:rsid w:val="00F5517B"/>
    <w:rsid w:val="00F561AA"/>
    <w:rsid w:val="00F600C1"/>
    <w:rsid w:val="00F603A6"/>
    <w:rsid w:val="00F61731"/>
    <w:rsid w:val="00F61904"/>
    <w:rsid w:val="00F61D4E"/>
    <w:rsid w:val="00F6425C"/>
    <w:rsid w:val="00F645C7"/>
    <w:rsid w:val="00F664F8"/>
    <w:rsid w:val="00F66DFE"/>
    <w:rsid w:val="00F670F6"/>
    <w:rsid w:val="00F70109"/>
    <w:rsid w:val="00F702A1"/>
    <w:rsid w:val="00F70F40"/>
    <w:rsid w:val="00F72935"/>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067D"/>
    <w:rsid w:val="00FA14D2"/>
    <w:rsid w:val="00FA2171"/>
    <w:rsid w:val="00FA2CE0"/>
    <w:rsid w:val="00FA375B"/>
    <w:rsid w:val="00FA4E2B"/>
    <w:rsid w:val="00FA57B6"/>
    <w:rsid w:val="00FA5F60"/>
    <w:rsid w:val="00FA7E0B"/>
    <w:rsid w:val="00FB2DD3"/>
    <w:rsid w:val="00FB34C5"/>
    <w:rsid w:val="00FB4DA0"/>
    <w:rsid w:val="00FC034D"/>
    <w:rsid w:val="00FC205F"/>
    <w:rsid w:val="00FC582A"/>
    <w:rsid w:val="00FC65EB"/>
    <w:rsid w:val="00FC6697"/>
    <w:rsid w:val="00FD02D0"/>
    <w:rsid w:val="00FD10F8"/>
    <w:rsid w:val="00FD1706"/>
    <w:rsid w:val="00FD2E09"/>
    <w:rsid w:val="00FD4308"/>
    <w:rsid w:val="00FD4328"/>
    <w:rsid w:val="00FD4B87"/>
    <w:rsid w:val="00FD4F47"/>
    <w:rsid w:val="00FD59AB"/>
    <w:rsid w:val="00FD6EE5"/>
    <w:rsid w:val="00FD758A"/>
    <w:rsid w:val="00FE1D3D"/>
    <w:rsid w:val="00FE25C0"/>
    <w:rsid w:val="00FE4B71"/>
    <w:rsid w:val="00FE6418"/>
    <w:rsid w:val="00FE6662"/>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 w:type="paragraph" w:styleId="NoSpacing">
    <w:name w:val="No Spacing"/>
    <w:uiPriority w:val="1"/>
    <w:qFormat/>
    <w:rsid w:val="00DB17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 w:type="paragraph" w:styleId="NoSpacing">
    <w:name w:val="No Spacing"/>
    <w:uiPriority w:val="1"/>
    <w:qFormat/>
    <w:rsid w:val="00DB1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495">
      <w:bodyDiv w:val="1"/>
      <w:marLeft w:val="0"/>
      <w:marRight w:val="0"/>
      <w:marTop w:val="0"/>
      <w:marBottom w:val="0"/>
      <w:divBdr>
        <w:top w:val="none" w:sz="0" w:space="0" w:color="auto"/>
        <w:left w:val="none" w:sz="0" w:space="0" w:color="auto"/>
        <w:bottom w:val="none" w:sz="0" w:space="0" w:color="auto"/>
        <w:right w:val="none" w:sz="0" w:space="0" w:color="auto"/>
      </w:divBdr>
    </w:div>
    <w:div w:id="157042428">
      <w:bodyDiv w:val="1"/>
      <w:marLeft w:val="0"/>
      <w:marRight w:val="0"/>
      <w:marTop w:val="0"/>
      <w:marBottom w:val="0"/>
      <w:divBdr>
        <w:top w:val="none" w:sz="0" w:space="0" w:color="auto"/>
        <w:left w:val="none" w:sz="0" w:space="0" w:color="auto"/>
        <w:bottom w:val="none" w:sz="0" w:space="0" w:color="auto"/>
        <w:right w:val="none" w:sz="0" w:space="0" w:color="auto"/>
      </w:divBdr>
    </w:div>
    <w:div w:id="172646832">
      <w:bodyDiv w:val="1"/>
      <w:marLeft w:val="0"/>
      <w:marRight w:val="0"/>
      <w:marTop w:val="0"/>
      <w:marBottom w:val="0"/>
      <w:divBdr>
        <w:top w:val="none" w:sz="0" w:space="0" w:color="auto"/>
        <w:left w:val="none" w:sz="0" w:space="0" w:color="auto"/>
        <w:bottom w:val="none" w:sz="0" w:space="0" w:color="auto"/>
        <w:right w:val="none" w:sz="0" w:space="0" w:color="auto"/>
      </w:divBdr>
    </w:div>
    <w:div w:id="366682823">
      <w:bodyDiv w:val="1"/>
      <w:marLeft w:val="0"/>
      <w:marRight w:val="0"/>
      <w:marTop w:val="0"/>
      <w:marBottom w:val="0"/>
      <w:divBdr>
        <w:top w:val="none" w:sz="0" w:space="0" w:color="auto"/>
        <w:left w:val="none" w:sz="0" w:space="0" w:color="auto"/>
        <w:bottom w:val="none" w:sz="0" w:space="0" w:color="auto"/>
        <w:right w:val="none" w:sz="0" w:space="0" w:color="auto"/>
      </w:divBdr>
    </w:div>
    <w:div w:id="484977583">
      <w:bodyDiv w:val="1"/>
      <w:marLeft w:val="0"/>
      <w:marRight w:val="0"/>
      <w:marTop w:val="0"/>
      <w:marBottom w:val="0"/>
      <w:divBdr>
        <w:top w:val="none" w:sz="0" w:space="0" w:color="auto"/>
        <w:left w:val="none" w:sz="0" w:space="0" w:color="auto"/>
        <w:bottom w:val="none" w:sz="0" w:space="0" w:color="auto"/>
        <w:right w:val="none" w:sz="0" w:space="0" w:color="auto"/>
      </w:divBdr>
    </w:div>
    <w:div w:id="562182089">
      <w:bodyDiv w:val="1"/>
      <w:marLeft w:val="0"/>
      <w:marRight w:val="0"/>
      <w:marTop w:val="0"/>
      <w:marBottom w:val="0"/>
      <w:divBdr>
        <w:top w:val="none" w:sz="0" w:space="0" w:color="auto"/>
        <w:left w:val="none" w:sz="0" w:space="0" w:color="auto"/>
        <w:bottom w:val="none" w:sz="0" w:space="0" w:color="auto"/>
        <w:right w:val="none" w:sz="0" w:space="0" w:color="auto"/>
      </w:divBdr>
    </w:div>
    <w:div w:id="903294119">
      <w:bodyDiv w:val="1"/>
      <w:marLeft w:val="0"/>
      <w:marRight w:val="0"/>
      <w:marTop w:val="0"/>
      <w:marBottom w:val="0"/>
      <w:divBdr>
        <w:top w:val="none" w:sz="0" w:space="0" w:color="auto"/>
        <w:left w:val="none" w:sz="0" w:space="0" w:color="auto"/>
        <w:bottom w:val="none" w:sz="0" w:space="0" w:color="auto"/>
        <w:right w:val="none" w:sz="0" w:space="0" w:color="auto"/>
      </w:divBdr>
    </w:div>
    <w:div w:id="973486662">
      <w:bodyDiv w:val="1"/>
      <w:marLeft w:val="0"/>
      <w:marRight w:val="0"/>
      <w:marTop w:val="0"/>
      <w:marBottom w:val="0"/>
      <w:divBdr>
        <w:top w:val="none" w:sz="0" w:space="0" w:color="auto"/>
        <w:left w:val="none" w:sz="0" w:space="0" w:color="auto"/>
        <w:bottom w:val="none" w:sz="0" w:space="0" w:color="auto"/>
        <w:right w:val="none" w:sz="0" w:space="0" w:color="auto"/>
      </w:divBdr>
    </w:div>
    <w:div w:id="1059591234">
      <w:bodyDiv w:val="1"/>
      <w:marLeft w:val="0"/>
      <w:marRight w:val="0"/>
      <w:marTop w:val="0"/>
      <w:marBottom w:val="0"/>
      <w:divBdr>
        <w:top w:val="none" w:sz="0" w:space="0" w:color="auto"/>
        <w:left w:val="none" w:sz="0" w:space="0" w:color="auto"/>
        <w:bottom w:val="none" w:sz="0" w:space="0" w:color="auto"/>
        <w:right w:val="none" w:sz="0" w:space="0" w:color="auto"/>
      </w:divBdr>
    </w:div>
    <w:div w:id="1114055215">
      <w:bodyDiv w:val="1"/>
      <w:marLeft w:val="0"/>
      <w:marRight w:val="0"/>
      <w:marTop w:val="0"/>
      <w:marBottom w:val="0"/>
      <w:divBdr>
        <w:top w:val="none" w:sz="0" w:space="0" w:color="auto"/>
        <w:left w:val="none" w:sz="0" w:space="0" w:color="auto"/>
        <w:bottom w:val="none" w:sz="0" w:space="0" w:color="auto"/>
        <w:right w:val="none" w:sz="0" w:space="0" w:color="auto"/>
      </w:divBdr>
    </w:div>
    <w:div w:id="1335373894">
      <w:bodyDiv w:val="1"/>
      <w:marLeft w:val="0"/>
      <w:marRight w:val="0"/>
      <w:marTop w:val="0"/>
      <w:marBottom w:val="0"/>
      <w:divBdr>
        <w:top w:val="none" w:sz="0" w:space="0" w:color="auto"/>
        <w:left w:val="none" w:sz="0" w:space="0" w:color="auto"/>
        <w:bottom w:val="none" w:sz="0" w:space="0" w:color="auto"/>
        <w:right w:val="none" w:sz="0" w:space="0" w:color="auto"/>
      </w:divBdr>
    </w:div>
    <w:div w:id="1357342891">
      <w:bodyDiv w:val="1"/>
      <w:marLeft w:val="0"/>
      <w:marRight w:val="0"/>
      <w:marTop w:val="0"/>
      <w:marBottom w:val="0"/>
      <w:divBdr>
        <w:top w:val="none" w:sz="0" w:space="0" w:color="auto"/>
        <w:left w:val="none" w:sz="0" w:space="0" w:color="auto"/>
        <w:bottom w:val="none" w:sz="0" w:space="0" w:color="auto"/>
        <w:right w:val="none" w:sz="0" w:space="0" w:color="auto"/>
      </w:divBdr>
    </w:div>
    <w:div w:id="1418477415">
      <w:bodyDiv w:val="1"/>
      <w:marLeft w:val="0"/>
      <w:marRight w:val="0"/>
      <w:marTop w:val="0"/>
      <w:marBottom w:val="0"/>
      <w:divBdr>
        <w:top w:val="none" w:sz="0" w:space="0" w:color="auto"/>
        <w:left w:val="none" w:sz="0" w:space="0" w:color="auto"/>
        <w:bottom w:val="none" w:sz="0" w:space="0" w:color="auto"/>
        <w:right w:val="none" w:sz="0" w:space="0" w:color="auto"/>
      </w:divBdr>
    </w:div>
    <w:div w:id="1653095480">
      <w:bodyDiv w:val="1"/>
      <w:marLeft w:val="0"/>
      <w:marRight w:val="0"/>
      <w:marTop w:val="0"/>
      <w:marBottom w:val="0"/>
      <w:divBdr>
        <w:top w:val="none" w:sz="0" w:space="0" w:color="auto"/>
        <w:left w:val="none" w:sz="0" w:space="0" w:color="auto"/>
        <w:bottom w:val="none" w:sz="0" w:space="0" w:color="auto"/>
        <w:right w:val="none" w:sz="0" w:space="0" w:color="auto"/>
      </w:divBdr>
    </w:div>
    <w:div w:id="1741362159">
      <w:bodyDiv w:val="1"/>
      <w:marLeft w:val="0"/>
      <w:marRight w:val="0"/>
      <w:marTop w:val="0"/>
      <w:marBottom w:val="0"/>
      <w:divBdr>
        <w:top w:val="none" w:sz="0" w:space="0" w:color="auto"/>
        <w:left w:val="none" w:sz="0" w:space="0" w:color="auto"/>
        <w:bottom w:val="none" w:sz="0" w:space="0" w:color="auto"/>
        <w:right w:val="none" w:sz="0" w:space="0" w:color="auto"/>
      </w:divBdr>
    </w:div>
    <w:div w:id="1889954557">
      <w:bodyDiv w:val="1"/>
      <w:marLeft w:val="0"/>
      <w:marRight w:val="0"/>
      <w:marTop w:val="0"/>
      <w:marBottom w:val="0"/>
      <w:divBdr>
        <w:top w:val="none" w:sz="0" w:space="0" w:color="auto"/>
        <w:left w:val="none" w:sz="0" w:space="0" w:color="auto"/>
        <w:bottom w:val="none" w:sz="0" w:space="0" w:color="auto"/>
        <w:right w:val="none" w:sz="0" w:space="0" w:color="auto"/>
      </w:divBdr>
    </w:div>
    <w:div w:id="1956448220">
      <w:bodyDiv w:val="1"/>
      <w:marLeft w:val="0"/>
      <w:marRight w:val="0"/>
      <w:marTop w:val="0"/>
      <w:marBottom w:val="0"/>
      <w:divBdr>
        <w:top w:val="none" w:sz="0" w:space="0" w:color="auto"/>
        <w:left w:val="none" w:sz="0" w:space="0" w:color="auto"/>
        <w:bottom w:val="none" w:sz="0" w:space="0" w:color="auto"/>
        <w:right w:val="none" w:sz="0" w:space="0" w:color="auto"/>
      </w:divBdr>
    </w:div>
    <w:div w:id="2013870022">
      <w:bodyDiv w:val="1"/>
      <w:marLeft w:val="0"/>
      <w:marRight w:val="0"/>
      <w:marTop w:val="0"/>
      <w:marBottom w:val="0"/>
      <w:divBdr>
        <w:top w:val="none" w:sz="0" w:space="0" w:color="auto"/>
        <w:left w:val="none" w:sz="0" w:space="0" w:color="auto"/>
        <w:bottom w:val="none" w:sz="0" w:space="0" w:color="auto"/>
        <w:right w:val="none" w:sz="0" w:space="0" w:color="auto"/>
      </w:divBdr>
    </w:div>
    <w:div w:id="20283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sue bradford</cp:lastModifiedBy>
  <cp:revision>2</cp:revision>
  <dcterms:created xsi:type="dcterms:W3CDTF">2017-04-11T03:36:00Z</dcterms:created>
  <dcterms:modified xsi:type="dcterms:W3CDTF">2017-04-11T03:36:00Z</dcterms:modified>
</cp:coreProperties>
</file>